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41F67" w14:textId="5A93AA38" w:rsidR="00550220" w:rsidRPr="0049007F" w:rsidRDefault="00550220" w:rsidP="00550220">
      <w:pPr>
        <w:pStyle w:val="Date"/>
        <w:spacing w:after="360" w:line="240" w:lineRule="auto"/>
        <w:ind w:left="5823" w:hanging="11"/>
        <w:rPr>
          <w:szCs w:val="24"/>
        </w:rPr>
      </w:pPr>
      <w:r>
        <w:t>Bruxelles, le 21 février 2024</w:t>
      </w:r>
    </w:p>
    <w:p w14:paraId="41856871" w14:textId="1C8EA867" w:rsidR="00550220" w:rsidRPr="0049007F" w:rsidRDefault="00550220" w:rsidP="00550220">
      <w:pPr>
        <w:rPr>
          <w:b/>
        </w:rPr>
      </w:pPr>
      <w:r>
        <w:rPr>
          <w:b/>
        </w:rPr>
        <w:t>SP(2024) 109</w:t>
      </w:r>
    </w:p>
    <w:p w14:paraId="52B83C33" w14:textId="77777777" w:rsidR="00550220" w:rsidRPr="0007567F" w:rsidRDefault="00550220" w:rsidP="00550220">
      <w:pPr>
        <w:pStyle w:val="Subject"/>
        <w:spacing w:after="720"/>
        <w:ind w:right="-28"/>
        <w:jc w:val="both"/>
        <w:rPr>
          <w:rFonts w:ascii="Times New Roman" w:hAnsi="Times New Roman"/>
          <w:u w:val="single"/>
          <w:lang w:val="fr-BE"/>
        </w:rPr>
      </w:pPr>
    </w:p>
    <w:p w14:paraId="396170BB" w14:textId="6DF61276" w:rsidR="00550220" w:rsidRPr="00600A54" w:rsidRDefault="00661375" w:rsidP="00600A54">
      <w:pPr>
        <w:pStyle w:val="Subject"/>
        <w:spacing w:after="720"/>
        <w:ind w:left="0" w:right="-28" w:firstLine="0"/>
        <w:jc w:val="center"/>
        <w:rPr>
          <w:rFonts w:ascii="Times New Roman" w:hAnsi="Times New Roman"/>
          <w:sz w:val="32"/>
          <w:szCs w:val="32"/>
          <w:u w:val="single"/>
        </w:rPr>
      </w:pPr>
      <w:r>
        <w:rPr>
          <w:rFonts w:ascii="Times New Roman" w:hAnsi="Times New Roman"/>
          <w:sz w:val="32"/>
          <w:u w:val="single"/>
        </w:rPr>
        <w:t>Réponses de la Commission aux positions et résolutions adoptées par le Parlement européen – Session plénière de novembre II 2023</w:t>
      </w:r>
    </w:p>
    <w:p w14:paraId="05EBC862" w14:textId="70D26C90" w:rsidR="00226E6C" w:rsidRDefault="00226E6C" w:rsidP="00600A54">
      <w:pPr>
        <w:spacing w:after="240"/>
        <w:jc w:val="center"/>
        <w:rPr>
          <w:szCs w:val="24"/>
        </w:rPr>
      </w:pPr>
      <w:r>
        <w:t xml:space="preserve">Le présent document remplace intégralement le document SP(2023) 670 adopté </w:t>
      </w:r>
      <w:r w:rsidR="005B3B66">
        <w:br/>
      </w:r>
      <w:r>
        <w:t>le 19</w:t>
      </w:r>
      <w:r w:rsidR="005B3B66">
        <w:t> </w:t>
      </w:r>
      <w:r>
        <w:t>décembre 2023, par procédure écrite.</w:t>
      </w:r>
    </w:p>
    <w:p w14:paraId="7883C972" w14:textId="28BF2B88" w:rsidR="00935ED8" w:rsidRPr="00EE64E6" w:rsidRDefault="00935ED8" w:rsidP="00935ED8">
      <w:pPr>
        <w:spacing w:after="240" w:line="240" w:lineRule="auto"/>
        <w:jc w:val="both"/>
      </w:pPr>
      <w:r>
        <w:br w:type="page"/>
      </w:r>
      <w:r>
        <w:rPr>
          <w:b/>
          <w:sz w:val="22"/>
        </w:rPr>
        <w:lastRenderedPageBreak/>
        <w:t>DANS LA PREMIÈRE PARTIE, LE PRÉSENT DOCUMENT INFORME LE PARLEMENT EUROPÉEN DES SUITES QUE LA COMMISSION A DONNÉES AUX AMENDEMENTS AUX PROPOSITIONS LÉGISLATIVES ADOPTÉS PAR CELUI-CI AU COURS DE LA PÉRIODE DE SESSION DE NOVEMBRE II 2023.</w:t>
      </w:r>
    </w:p>
    <w:p w14:paraId="72D41285" w14:textId="29B00D3A" w:rsidR="00935ED8" w:rsidRPr="00EE64E6" w:rsidRDefault="00935ED8" w:rsidP="00935ED8">
      <w:pPr>
        <w:spacing w:after="240" w:line="240" w:lineRule="auto"/>
        <w:jc w:val="both"/>
        <w:rPr>
          <w:b/>
          <w:sz w:val="22"/>
          <w:szCs w:val="22"/>
        </w:rPr>
      </w:pPr>
      <w:r>
        <w:rPr>
          <w:b/>
          <w:sz w:val="22"/>
        </w:rPr>
        <w:t>DANS LA DEUXIÈME PARTIE, LA COMMISSION DRESSE LA LISTE D’UN CERTAIN NOMBRE DE RÉSOLUTIONS NON LÉGISLATIVES ADOPTÉES PAR LE PARLEMENT AU COURS DE LA MÊME PÉRIODE DE SESSION, EN INDIQUANT LES MOTIFS POUR LESQUELS ELLE N’ENTEND PAS Y DONNER UNE SUITE SOUS FORME DE FICHE.</w:t>
      </w:r>
    </w:p>
    <w:p w14:paraId="4CD77F1D" w14:textId="7C206A95" w:rsidR="00935ED8" w:rsidRPr="00550220" w:rsidRDefault="00935ED8" w:rsidP="00935ED8">
      <w:pPr>
        <w:spacing w:before="600" w:after="600" w:line="240" w:lineRule="auto"/>
        <w:jc w:val="center"/>
        <w:rPr>
          <w:b/>
        </w:rPr>
      </w:pPr>
      <w:r>
        <w:br w:type="page"/>
      </w:r>
      <w:r>
        <w:rPr>
          <w:b/>
        </w:rPr>
        <w:lastRenderedPageBreak/>
        <w:t>TABLE DES MATIÈRES</w:t>
      </w:r>
    </w:p>
    <w:p w14:paraId="02A5C0AE" w14:textId="3D93AA75" w:rsidR="00E77CCF" w:rsidRDefault="005B3B66" w:rsidP="00E77CCF">
      <w:pPr>
        <w:spacing w:before="360" w:after="360" w:line="240" w:lineRule="auto"/>
        <w:rPr>
          <w:rStyle w:val="Hyperlink"/>
          <w:b/>
          <w:smallCaps/>
        </w:rPr>
      </w:pPr>
      <w:hyperlink w:anchor="PARTONE" w:history="1">
        <w:r w:rsidR="00600A54">
          <w:rPr>
            <w:rStyle w:val="Hyperlink"/>
            <w:b/>
          </w:rPr>
          <w:t>PREMIÈRE PARTIE –</w:t>
        </w:r>
        <w:r w:rsidR="00600A54">
          <w:rPr>
            <w:rStyle w:val="Hyperlink"/>
            <w:b/>
            <w:smallCaps/>
          </w:rPr>
          <w:t xml:space="preserve"> Résolutions législatives</w:t>
        </w:r>
      </w:hyperlink>
    </w:p>
    <w:p w14:paraId="4CA7FDED" w14:textId="2ECA74E4" w:rsidR="00835C30" w:rsidRDefault="009E17A4" w:rsidP="00835C30">
      <w:pPr>
        <w:spacing w:before="360" w:after="360" w:line="240" w:lineRule="auto"/>
        <w:ind w:left="720"/>
        <w:rPr>
          <w:rStyle w:val="Hyperlink"/>
          <w:b/>
          <w:smallCaps/>
        </w:rPr>
      </w:pPr>
      <w:r>
        <w:rPr>
          <w:b/>
          <w:smallCaps/>
        </w:rPr>
        <w:t>Procédure législative ordinaire</w:t>
      </w:r>
      <w:r>
        <w:t xml:space="preserve"> – </w:t>
      </w:r>
      <w:r>
        <w:rPr>
          <w:b/>
          <w:smallCaps/>
        </w:rPr>
        <w:t>Première lecture</w:t>
      </w:r>
    </w:p>
    <w:p w14:paraId="1CD8113F" w14:textId="69DF6AF0" w:rsidR="007C6457" w:rsidRPr="00363656" w:rsidRDefault="005B3B66" w:rsidP="00785084">
      <w:pPr>
        <w:pStyle w:val="ListParagraph"/>
        <w:numPr>
          <w:ilvl w:val="0"/>
          <w:numId w:val="3"/>
        </w:numPr>
        <w:spacing w:after="120" w:line="240" w:lineRule="auto"/>
        <w:ind w:left="1037" w:hanging="357"/>
        <w:contextualSpacing w:val="0"/>
        <w:jc w:val="both"/>
      </w:pPr>
      <w:hyperlink w:anchor="cybersecurity" w:history="1">
        <w:r w:rsidR="00600A54">
          <w:rPr>
            <w:rStyle w:val="Hyperlink"/>
          </w:rPr>
          <w:t>Règlement établissant des mesures destinées à assurer un niveau élevé commun de cybersécurité dans les institutions, organes et organismes de l'Union</w:t>
        </w:r>
      </w:hyperlink>
    </w:p>
    <w:p w14:paraId="4450B8A7" w14:textId="6AF5F0E6" w:rsidR="007A5184" w:rsidRPr="00363656" w:rsidRDefault="005B3B66" w:rsidP="00785084">
      <w:pPr>
        <w:pStyle w:val="ListParagraph"/>
        <w:numPr>
          <w:ilvl w:val="0"/>
          <w:numId w:val="3"/>
        </w:numPr>
        <w:spacing w:after="120" w:line="240" w:lineRule="auto"/>
        <w:ind w:left="1037" w:hanging="357"/>
        <w:contextualSpacing w:val="0"/>
        <w:jc w:val="both"/>
      </w:pPr>
      <w:hyperlink w:anchor="tuna" w:history="1">
        <w:r w:rsidR="00600A54">
          <w:rPr>
            <w:rStyle w:val="Hyperlink"/>
          </w:rPr>
          <w:t>Règlement établissant un programme de documentation des captures de thon rouge (Thunnus thynnus) et abrogeant le règlement (UE) n° 640/2010</w:t>
        </w:r>
      </w:hyperlink>
    </w:p>
    <w:p w14:paraId="53E5759D" w14:textId="4888E45D" w:rsidR="007A5184" w:rsidRPr="00BC54E7" w:rsidRDefault="005B3B66" w:rsidP="00785084">
      <w:pPr>
        <w:pStyle w:val="ListParagraph"/>
        <w:numPr>
          <w:ilvl w:val="0"/>
          <w:numId w:val="3"/>
        </w:numPr>
        <w:spacing w:after="120" w:line="240" w:lineRule="auto"/>
        <w:ind w:left="1037" w:hanging="357"/>
        <w:contextualSpacing w:val="0"/>
        <w:jc w:val="both"/>
      </w:pPr>
      <w:hyperlink w:anchor="SUR" w:history="1">
        <w:r w:rsidR="00600A54">
          <w:rPr>
            <w:rStyle w:val="Hyperlink"/>
          </w:rPr>
          <w:t xml:space="preserve">Règlement concernant une utilisation </w:t>
        </w:r>
        <w:r w:rsidR="00600A54">
          <w:rPr>
            <w:rStyle w:val="Hyperlink"/>
          </w:rPr>
          <w:t>d</w:t>
        </w:r>
        <w:r w:rsidR="00600A54">
          <w:rPr>
            <w:rStyle w:val="Hyperlink"/>
          </w:rPr>
          <w:t>es produits phytopharmaceutiques compatible avec le développement durable et modifiant le règlement (UE) 2021/2115</w:t>
        </w:r>
      </w:hyperlink>
    </w:p>
    <w:p w14:paraId="00DAB7ED" w14:textId="69976947" w:rsidR="00D91A20" w:rsidRPr="00A976FB" w:rsidRDefault="005B3B66" w:rsidP="00785084">
      <w:pPr>
        <w:pStyle w:val="ListParagraph"/>
        <w:numPr>
          <w:ilvl w:val="0"/>
          <w:numId w:val="3"/>
        </w:numPr>
        <w:spacing w:after="120" w:line="240" w:lineRule="auto"/>
        <w:ind w:left="1037" w:hanging="357"/>
        <w:contextualSpacing w:val="0"/>
        <w:jc w:val="both"/>
      </w:pPr>
      <w:hyperlink w:anchor="regcoop" w:history="1">
        <w:r w:rsidR="00600A54">
          <w:rPr>
            <w:rStyle w:val="Hyperlink"/>
          </w:rPr>
          <w:t>Règlement relatif à la numérisation de la coopération judiciaire et de l'accès à la justice dans les affaires transfrontières civiles, commerciales et pénales, et modifiant certains actes dans le domaine de la coopération judiciaire</w:t>
        </w:r>
      </w:hyperlink>
    </w:p>
    <w:p w14:paraId="4615A2AC" w14:textId="70500C76" w:rsidR="00A976FB" w:rsidRPr="00D91A20" w:rsidRDefault="005B3B66" w:rsidP="00785084">
      <w:pPr>
        <w:pStyle w:val="ListParagraph"/>
        <w:numPr>
          <w:ilvl w:val="0"/>
          <w:numId w:val="3"/>
        </w:numPr>
        <w:spacing w:after="120" w:line="240" w:lineRule="auto"/>
        <w:ind w:left="1037" w:hanging="357"/>
        <w:contextualSpacing w:val="0"/>
        <w:jc w:val="both"/>
      </w:pPr>
      <w:hyperlink w:anchor="dircoop" w:history="1">
        <w:r w:rsidR="00600A54">
          <w:rPr>
            <w:rStyle w:val="Hyperlink"/>
          </w:rPr>
          <w:t>Directive modifiant la directive 2003/8/CE du Conseil, les décisions-cadres 2002/465/JAI, 2002/584/JAI, 2003/577/JAI, 2005/214/JAI, 2006/783/JAI, 2008/909/JAI, 2008/947/JAI, 2009/829/JAI et 2009/948/JAI du Conseil et la directive 2014/41/UE du Parlement européen et du Conseil, en ce qui concerne la numérisation de la coopération judiciaire</w:t>
        </w:r>
      </w:hyperlink>
    </w:p>
    <w:p w14:paraId="12627C18" w14:textId="56644051" w:rsidR="00D91A20" w:rsidRPr="00D91A20" w:rsidRDefault="00D91A20" w:rsidP="00D91A20">
      <w:pPr>
        <w:spacing w:before="360" w:after="360" w:line="240" w:lineRule="auto"/>
        <w:ind w:firstLine="680"/>
        <w:rPr>
          <w:rStyle w:val="Hyperlink"/>
          <w:b/>
          <w:smallCaps/>
        </w:rPr>
      </w:pPr>
      <w:r>
        <w:rPr>
          <w:b/>
          <w:smallCaps/>
        </w:rPr>
        <w:t xml:space="preserve">Procédure législative spéciale </w:t>
      </w:r>
      <w:r>
        <w:t>–</w:t>
      </w:r>
      <w:r>
        <w:rPr>
          <w:b/>
          <w:smallCaps/>
        </w:rPr>
        <w:t xml:space="preserve"> Première lecture</w:t>
      </w:r>
    </w:p>
    <w:p w14:paraId="08677174" w14:textId="7CC85575" w:rsidR="00F934E8" w:rsidRPr="000A52E4" w:rsidRDefault="005B3B66" w:rsidP="0007128D">
      <w:pPr>
        <w:pStyle w:val="ListParagraph"/>
        <w:numPr>
          <w:ilvl w:val="0"/>
          <w:numId w:val="3"/>
        </w:numPr>
        <w:spacing w:after="120" w:line="240" w:lineRule="auto"/>
        <w:ind w:left="1037" w:hanging="357"/>
        <w:contextualSpacing w:val="0"/>
        <w:jc w:val="both"/>
      </w:pPr>
      <w:hyperlink w:anchor="digage" w:history="1">
        <w:r w:rsidR="00600A54">
          <w:rPr>
            <w:rStyle w:val="Hyperlink"/>
          </w:rPr>
          <w:t>Directive modifiant la directive 2006/112/CE en ce qui concerne les règles en matière de TVA adaptées à l’ère numérique et règlement modifiant le règlement (UE) n° 904/2010 en ce qui concerne les modalités de coopération administrative en matière de TVA nécessaires à l’ère numérique</w:t>
        </w:r>
      </w:hyperlink>
    </w:p>
    <w:p w14:paraId="20EEE92F" w14:textId="398F8571" w:rsidR="00E77CCF" w:rsidRPr="00E77CCF" w:rsidRDefault="005B3B66" w:rsidP="00E77CCF">
      <w:pPr>
        <w:spacing w:before="360" w:after="360" w:line="240" w:lineRule="auto"/>
        <w:rPr>
          <w:b/>
        </w:rPr>
      </w:pPr>
      <w:hyperlink w:anchor="PARTTWO" w:history="1">
        <w:r w:rsidR="00600A54">
          <w:rPr>
            <w:rStyle w:val="Hyperlink"/>
            <w:b/>
          </w:rPr>
          <w:t>DEUXIÈME PARTIE –</w:t>
        </w:r>
        <w:r w:rsidR="00600A54">
          <w:rPr>
            <w:rStyle w:val="Hyperlink"/>
            <w:b/>
            <w:smallCaps/>
          </w:rPr>
          <w:t xml:space="preserve"> Résolutions non législatives</w:t>
        </w:r>
      </w:hyperlink>
    </w:p>
    <w:p w14:paraId="3EA5E4D6" w14:textId="77777777" w:rsidR="000749BB" w:rsidRDefault="000749BB">
      <w:pPr>
        <w:spacing w:after="200" w:line="276" w:lineRule="auto"/>
        <w:rPr>
          <w:b/>
          <w:sz w:val="48"/>
        </w:rPr>
      </w:pPr>
      <w:r>
        <w:br w:type="page"/>
      </w:r>
    </w:p>
    <w:p w14:paraId="14F9EFF2" w14:textId="77777777" w:rsidR="000749BB" w:rsidRPr="0007567F" w:rsidRDefault="000749BB" w:rsidP="00935ED8">
      <w:pPr>
        <w:spacing w:before="5040" w:line="240" w:lineRule="auto"/>
        <w:jc w:val="center"/>
        <w:rPr>
          <w:b/>
          <w:sz w:val="48"/>
          <w:lang w:val="fr-BE"/>
        </w:rPr>
      </w:pPr>
    </w:p>
    <w:p w14:paraId="4E5921D9" w14:textId="29CF68F3" w:rsidR="00032279" w:rsidRDefault="00935ED8" w:rsidP="00935ED8">
      <w:pPr>
        <w:spacing w:before="5040" w:line="240" w:lineRule="auto"/>
        <w:jc w:val="center"/>
        <w:rPr>
          <w:b/>
          <w:sz w:val="48"/>
        </w:rPr>
      </w:pPr>
      <w:bookmarkStart w:id="0" w:name="PARTONE"/>
      <w:r>
        <w:rPr>
          <w:b/>
          <w:sz w:val="48"/>
        </w:rPr>
        <w:t>Première partie</w:t>
      </w:r>
      <w:r>
        <w:br/>
      </w:r>
      <w:r>
        <w:rPr>
          <w:b/>
          <w:sz w:val="48"/>
        </w:rPr>
        <w:t>Avis législatifs</w:t>
      </w:r>
    </w:p>
    <w:bookmarkEnd w:id="0"/>
    <w:p w14:paraId="1E97398A" w14:textId="4CEFDB19" w:rsidR="00032279" w:rsidRPr="0007567F" w:rsidRDefault="00032279">
      <w:pPr>
        <w:spacing w:after="200" w:line="276" w:lineRule="auto"/>
        <w:rPr>
          <w:b/>
          <w:sz w:val="48"/>
          <w:lang w:val="fr-BE"/>
        </w:rPr>
      </w:pPr>
    </w:p>
    <w:p w14:paraId="244A2CD8" w14:textId="5A456E91" w:rsidR="000749BB" w:rsidRDefault="000749BB">
      <w:pPr>
        <w:spacing w:after="200" w:line="276" w:lineRule="auto"/>
        <w:rPr>
          <w:b/>
          <w:sz w:val="48"/>
        </w:rPr>
      </w:pPr>
      <w:r>
        <w:br w:type="page"/>
      </w:r>
    </w:p>
    <w:p w14:paraId="08BAAD98" w14:textId="77777777" w:rsidR="00F934E8" w:rsidRPr="009B1FF1" w:rsidRDefault="00F934E8" w:rsidP="00F934E8">
      <w:pPr>
        <w:spacing w:after="240" w:line="240" w:lineRule="auto"/>
        <w:jc w:val="center"/>
      </w:pPr>
      <w:bookmarkStart w:id="1" w:name="Kosovo"/>
      <w:bookmarkEnd w:id="1"/>
      <w:r>
        <w:rPr>
          <w:b/>
        </w:rPr>
        <w:lastRenderedPageBreak/>
        <w:t>PROCÉDURE LÉGISLATIVE ORDINAIRE – Première lecture</w:t>
      </w:r>
    </w:p>
    <w:p w14:paraId="7CA24860" w14:textId="77777777" w:rsidR="00F934E8" w:rsidRPr="006C5154" w:rsidRDefault="00F934E8" w:rsidP="00F934E8">
      <w:pPr>
        <w:spacing w:after="600" w:line="240" w:lineRule="auto"/>
        <w:jc w:val="center"/>
        <w:rPr>
          <w:b/>
          <w:bCs/>
        </w:rPr>
      </w:pPr>
      <w:bookmarkStart w:id="2" w:name="cybersecurity"/>
      <w:r>
        <w:rPr>
          <w:b/>
        </w:rPr>
        <w:t>Suite donnée à la résolution législative du Parlement européen sur la proposition de règlement du Parlement européen et du Conseil établissant des mesures destinées à assurer un niveau élevé commun de cybersécurité dans les institutions, organes et organismes de l’Union</w:t>
      </w:r>
    </w:p>
    <w:bookmarkEnd w:id="2"/>
    <w:p w14:paraId="78BF98DC" w14:textId="77777777" w:rsidR="00F934E8" w:rsidRPr="00600A54" w:rsidRDefault="00F934E8" w:rsidP="00F934E8">
      <w:pPr>
        <w:spacing w:after="240"/>
        <w:ind w:left="567" w:hanging="567"/>
      </w:pPr>
      <w:r>
        <w:rPr>
          <w:b/>
        </w:rPr>
        <w:t>1.</w:t>
      </w:r>
      <w:r>
        <w:rPr>
          <w:b/>
        </w:rPr>
        <w:tab/>
        <w:t xml:space="preserve">Rapporteure: </w:t>
      </w:r>
      <w:r>
        <w:t>Henna VIRKKUNEN (PPE / FI):</w:t>
      </w:r>
    </w:p>
    <w:p w14:paraId="69583837" w14:textId="77777777" w:rsidR="00F934E8" w:rsidRPr="00900DC1" w:rsidRDefault="00F934E8" w:rsidP="00F934E8">
      <w:pPr>
        <w:spacing w:after="240"/>
        <w:ind w:left="567" w:hanging="567"/>
        <w:jc w:val="both"/>
      </w:pPr>
      <w:r>
        <w:rPr>
          <w:b/>
        </w:rPr>
        <w:t>2.</w:t>
      </w:r>
      <w:r>
        <w:rPr>
          <w:b/>
        </w:rPr>
        <w:tab/>
        <w:t>Numéros de référence:</w:t>
      </w:r>
      <w:r>
        <w:t xml:space="preserve"> 2022/0085 (COD) / A9-0064/2023 / P9_TA(2023)0398</w:t>
      </w:r>
    </w:p>
    <w:p w14:paraId="78717F67" w14:textId="3D5E3071" w:rsidR="00F934E8" w:rsidRPr="002B7441" w:rsidRDefault="00F934E8" w:rsidP="00F934E8">
      <w:pPr>
        <w:spacing w:after="240"/>
        <w:ind w:left="567" w:hanging="567"/>
      </w:pPr>
      <w:r>
        <w:rPr>
          <w:b/>
        </w:rPr>
        <w:t>3.</w:t>
      </w:r>
      <w:r>
        <w:rPr>
          <w:b/>
        </w:rPr>
        <w:tab/>
        <w:t>Date d</w:t>
      </w:r>
      <w:r w:rsidR="007110AD">
        <w:rPr>
          <w:b/>
        </w:rPr>
        <w:t>’</w:t>
      </w:r>
      <w:r>
        <w:rPr>
          <w:b/>
        </w:rPr>
        <w:t xml:space="preserve">adoption de la résolution: </w:t>
      </w:r>
      <w:r>
        <w:t>21 novembre 2023</w:t>
      </w:r>
    </w:p>
    <w:p w14:paraId="35318210" w14:textId="77777777" w:rsidR="00F934E8" w:rsidRPr="002B7441" w:rsidRDefault="00F934E8" w:rsidP="00F934E8">
      <w:pPr>
        <w:spacing w:after="240"/>
        <w:ind w:left="567" w:hanging="567"/>
        <w:jc w:val="both"/>
      </w:pPr>
      <w:r>
        <w:rPr>
          <w:b/>
        </w:rPr>
        <w:t>4.</w:t>
      </w:r>
      <w:r>
        <w:rPr>
          <w:b/>
        </w:rPr>
        <w:tab/>
        <w:t xml:space="preserve">Base juridique: </w:t>
      </w:r>
      <w:r>
        <w:t xml:space="preserve">article 298 </w:t>
      </w:r>
      <w:r>
        <w:rPr>
          <w:rStyle w:val="doceo-font-family-base"/>
        </w:rPr>
        <w:t>du traité sur le fonctionnement de l’Union européenne</w:t>
      </w:r>
    </w:p>
    <w:p w14:paraId="47576C2A" w14:textId="77777777" w:rsidR="00F934E8" w:rsidRPr="002B7441" w:rsidRDefault="00F934E8" w:rsidP="00F934E8">
      <w:pPr>
        <w:spacing w:after="240"/>
        <w:ind w:left="567" w:hanging="567"/>
        <w:jc w:val="both"/>
        <w:rPr>
          <w:i/>
        </w:rPr>
      </w:pPr>
      <w:r>
        <w:rPr>
          <w:b/>
        </w:rPr>
        <w:t>5.</w:t>
      </w:r>
      <w:r>
        <w:rPr>
          <w:b/>
        </w:rPr>
        <w:tab/>
        <w:t>Commission parlementaire compétente:</w:t>
      </w:r>
      <w:r>
        <w:t xml:space="preserve"> commission de l’industrie, de la recherche et de l’énergie (ITRE)</w:t>
      </w:r>
    </w:p>
    <w:p w14:paraId="7FDD649D" w14:textId="77777777" w:rsidR="00F934E8" w:rsidRDefault="00F934E8" w:rsidP="00F934E8">
      <w:pPr>
        <w:tabs>
          <w:tab w:val="left" w:pos="567"/>
        </w:tabs>
        <w:spacing w:after="200" w:line="276" w:lineRule="auto"/>
        <w:rPr>
          <w:color w:val="000000"/>
          <w:szCs w:val="24"/>
        </w:rPr>
      </w:pPr>
      <w:r>
        <w:rPr>
          <w:b/>
        </w:rPr>
        <w:t>6.</w:t>
      </w:r>
      <w:r>
        <w:rPr>
          <w:b/>
        </w:rPr>
        <w:tab/>
        <w:t>Position de la Commission:</w:t>
      </w:r>
      <w:r>
        <w:rPr>
          <w:color w:val="000000"/>
          <w:sz w:val="22"/>
        </w:rPr>
        <w:t xml:space="preserve"> </w:t>
      </w:r>
      <w:r>
        <w:rPr>
          <w:color w:val="000000"/>
        </w:rPr>
        <w:t>la Commission accepte tous les amendements.</w:t>
      </w:r>
    </w:p>
    <w:p w14:paraId="51BD8839" w14:textId="01A32731" w:rsidR="007A5184" w:rsidRDefault="007A5184">
      <w:pPr>
        <w:spacing w:after="200" w:line="276" w:lineRule="auto"/>
        <w:rPr>
          <w:color w:val="000000"/>
          <w:szCs w:val="24"/>
        </w:rPr>
      </w:pPr>
      <w:r>
        <w:br w:type="page"/>
      </w:r>
    </w:p>
    <w:p w14:paraId="2D00C1CF" w14:textId="77777777" w:rsidR="00F934E8" w:rsidRPr="009B1FF1" w:rsidRDefault="00F934E8" w:rsidP="00F934E8">
      <w:pPr>
        <w:spacing w:after="240" w:line="240" w:lineRule="auto"/>
        <w:jc w:val="center"/>
      </w:pPr>
      <w:r>
        <w:rPr>
          <w:b/>
        </w:rPr>
        <w:lastRenderedPageBreak/>
        <w:t>PROCÉDURE LÉGISLATIVE ORDINAIRE – Première lecture</w:t>
      </w:r>
    </w:p>
    <w:p w14:paraId="1117F9DE" w14:textId="77777777" w:rsidR="00F934E8" w:rsidRPr="00A6731B" w:rsidRDefault="00F934E8" w:rsidP="00F934E8">
      <w:pPr>
        <w:spacing w:after="600" w:line="240" w:lineRule="auto"/>
        <w:jc w:val="center"/>
        <w:rPr>
          <w:b/>
          <w:bCs/>
        </w:rPr>
      </w:pPr>
      <w:bookmarkStart w:id="3" w:name="tuna"/>
      <w:r>
        <w:rPr>
          <w:b/>
        </w:rPr>
        <w:t>Suite donnée à la résolution législative du Parlement européen sur la proposition de règlement du Parlement européen et du Conseil établissant un programme de documentation des captures de thon rouge (Thunnus thynnus) et abrogeant le règlement (UE) n° 640/2010</w:t>
      </w:r>
      <w:bookmarkEnd w:id="3"/>
    </w:p>
    <w:p w14:paraId="5FD9810E" w14:textId="77777777" w:rsidR="00F934E8" w:rsidRPr="00682CC2" w:rsidRDefault="00F934E8" w:rsidP="00F934E8">
      <w:pPr>
        <w:spacing w:after="240"/>
        <w:ind w:left="567" w:hanging="567"/>
      </w:pPr>
      <w:r>
        <w:rPr>
          <w:b/>
        </w:rPr>
        <w:t>1.</w:t>
      </w:r>
      <w:r>
        <w:rPr>
          <w:b/>
        </w:rPr>
        <w:tab/>
        <w:t xml:space="preserve">Rapporteur: </w:t>
      </w:r>
      <w:r>
        <w:t>Gabriel MATO (PPE / ES)</w:t>
      </w:r>
    </w:p>
    <w:p w14:paraId="3638D3E6" w14:textId="77777777" w:rsidR="00F934E8" w:rsidRPr="00900DC1" w:rsidRDefault="00F934E8" w:rsidP="00F934E8">
      <w:pPr>
        <w:spacing w:after="240"/>
        <w:ind w:left="567" w:hanging="567"/>
        <w:jc w:val="both"/>
      </w:pPr>
      <w:r>
        <w:rPr>
          <w:b/>
        </w:rPr>
        <w:t>2.</w:t>
      </w:r>
      <w:r>
        <w:rPr>
          <w:b/>
        </w:rPr>
        <w:tab/>
        <w:t>Numéros de référence:</w:t>
      </w:r>
      <w:r>
        <w:t xml:space="preserve"> 2020/0302 (COD) / A9-0172/2021 / P9_TA(2023)0399</w:t>
      </w:r>
    </w:p>
    <w:p w14:paraId="3D25E1EA" w14:textId="6A5EE5A0" w:rsidR="00F934E8" w:rsidRPr="002B7441" w:rsidRDefault="00F934E8" w:rsidP="00F934E8">
      <w:pPr>
        <w:spacing w:after="240"/>
        <w:ind w:left="567" w:hanging="567"/>
      </w:pPr>
      <w:r>
        <w:rPr>
          <w:b/>
        </w:rPr>
        <w:t>3.</w:t>
      </w:r>
      <w:r>
        <w:rPr>
          <w:b/>
        </w:rPr>
        <w:tab/>
        <w:t>Date d</w:t>
      </w:r>
      <w:r w:rsidR="007110AD">
        <w:rPr>
          <w:b/>
        </w:rPr>
        <w:t>’</w:t>
      </w:r>
      <w:r>
        <w:rPr>
          <w:b/>
        </w:rPr>
        <w:t xml:space="preserve">adoption de la résolution: </w:t>
      </w:r>
      <w:r>
        <w:t>21 novembre 2023</w:t>
      </w:r>
    </w:p>
    <w:p w14:paraId="7158B329" w14:textId="77777777" w:rsidR="00F934E8" w:rsidRPr="002B7441" w:rsidRDefault="00F934E8" w:rsidP="00F934E8">
      <w:pPr>
        <w:spacing w:after="240"/>
        <w:ind w:left="567" w:hanging="567"/>
        <w:jc w:val="both"/>
      </w:pPr>
      <w:r>
        <w:rPr>
          <w:b/>
        </w:rPr>
        <w:t>4.</w:t>
      </w:r>
      <w:r>
        <w:rPr>
          <w:b/>
        </w:rPr>
        <w:tab/>
        <w:t xml:space="preserve">Base juridique: </w:t>
      </w:r>
      <w:r>
        <w:t xml:space="preserve">article 43, paragraphe 2, </w:t>
      </w:r>
      <w:r>
        <w:rPr>
          <w:rStyle w:val="doceo-font-family-base"/>
        </w:rPr>
        <w:t>du traité sur le fonctionnement de l’Union européenne</w:t>
      </w:r>
    </w:p>
    <w:p w14:paraId="72DE0DF9" w14:textId="77777777" w:rsidR="00F934E8" w:rsidRPr="002B7441" w:rsidRDefault="00F934E8" w:rsidP="00F934E8">
      <w:pPr>
        <w:spacing w:after="240"/>
        <w:ind w:left="567" w:hanging="567"/>
        <w:jc w:val="both"/>
        <w:rPr>
          <w:i/>
        </w:rPr>
      </w:pPr>
      <w:r>
        <w:rPr>
          <w:b/>
        </w:rPr>
        <w:t>5.</w:t>
      </w:r>
      <w:r>
        <w:rPr>
          <w:b/>
        </w:rPr>
        <w:tab/>
        <w:t>Commission parlementaire compétente:</w:t>
      </w:r>
      <w:r>
        <w:t xml:space="preserve"> commission de la pêche (PECH)</w:t>
      </w:r>
    </w:p>
    <w:p w14:paraId="658E86B0" w14:textId="4373C422" w:rsidR="00CC3923" w:rsidRPr="00A45A3A" w:rsidRDefault="00F934E8" w:rsidP="00F934E8">
      <w:pPr>
        <w:tabs>
          <w:tab w:val="left" w:pos="567"/>
        </w:tabs>
        <w:spacing w:after="120" w:line="240" w:lineRule="auto"/>
        <w:jc w:val="both"/>
        <w:rPr>
          <w:color w:val="000000"/>
          <w:szCs w:val="24"/>
        </w:rPr>
      </w:pPr>
      <w:r>
        <w:rPr>
          <w:b/>
        </w:rPr>
        <w:t>6.</w:t>
      </w:r>
      <w:r>
        <w:rPr>
          <w:b/>
        </w:rPr>
        <w:tab/>
        <w:t>Position de la Commission:</w:t>
      </w:r>
      <w:r>
        <w:rPr>
          <w:color w:val="000000"/>
          <w:sz w:val="22"/>
        </w:rPr>
        <w:t xml:space="preserve"> </w:t>
      </w:r>
      <w:r>
        <w:rPr>
          <w:color w:val="000000"/>
        </w:rPr>
        <w:t>la Commission accepte tous les amendements.</w:t>
      </w:r>
    </w:p>
    <w:p w14:paraId="2989147E" w14:textId="77777777" w:rsidR="007A5184" w:rsidRDefault="007A5184">
      <w:pPr>
        <w:spacing w:after="200" w:line="276" w:lineRule="auto"/>
        <w:rPr>
          <w:color w:val="000000"/>
          <w:szCs w:val="24"/>
        </w:rPr>
      </w:pPr>
      <w:r>
        <w:br w:type="page"/>
      </w:r>
    </w:p>
    <w:p w14:paraId="25DCC784" w14:textId="77777777" w:rsidR="008D18D2" w:rsidRPr="009B1FF1" w:rsidRDefault="008D18D2" w:rsidP="008D18D2">
      <w:pPr>
        <w:spacing w:after="240" w:line="240" w:lineRule="auto"/>
        <w:jc w:val="center"/>
      </w:pPr>
      <w:r>
        <w:rPr>
          <w:b/>
        </w:rPr>
        <w:lastRenderedPageBreak/>
        <w:t>PROCÉDURE LÉGISLATIVE ORDINAIRE – Première lecture</w:t>
      </w:r>
    </w:p>
    <w:p w14:paraId="21DED0B2" w14:textId="77777777" w:rsidR="008D18D2" w:rsidRPr="00CA69A7" w:rsidRDefault="008D18D2" w:rsidP="008D18D2">
      <w:pPr>
        <w:spacing w:after="600" w:line="240" w:lineRule="auto"/>
        <w:jc w:val="center"/>
        <w:rPr>
          <w:b/>
          <w:bCs/>
        </w:rPr>
      </w:pPr>
      <w:bookmarkStart w:id="4" w:name="SUR"/>
      <w:r>
        <w:rPr>
          <w:b/>
        </w:rPr>
        <w:t xml:space="preserve">Suite donnée à la résolution législative du Parlement européen sur la proposition de règlement du Parlement européen et du Conseil concernant une utilisation des produits phytopharmaceutiques compatible avec le développement durable et modifiant le règlement </w:t>
      </w:r>
      <w:bookmarkEnd w:id="4"/>
      <w:r>
        <w:rPr>
          <w:b/>
        </w:rPr>
        <w:t>(UE) 2021/2115</w:t>
      </w:r>
    </w:p>
    <w:p w14:paraId="7BF909E9" w14:textId="77777777" w:rsidR="008D18D2" w:rsidRPr="00CA69A7" w:rsidRDefault="008D18D2" w:rsidP="008D18D2">
      <w:pPr>
        <w:spacing w:after="240"/>
        <w:ind w:left="567" w:hanging="567"/>
      </w:pPr>
      <w:r>
        <w:rPr>
          <w:b/>
        </w:rPr>
        <w:t>1.</w:t>
      </w:r>
      <w:r>
        <w:rPr>
          <w:b/>
        </w:rPr>
        <w:tab/>
        <w:t xml:space="preserve">Rapporteure: </w:t>
      </w:r>
      <w:r>
        <w:t>Sarah WIENER (Verts/ALE / AT)</w:t>
      </w:r>
    </w:p>
    <w:p w14:paraId="1BFE3A44" w14:textId="77777777" w:rsidR="008D18D2" w:rsidRPr="00900DC1" w:rsidRDefault="008D18D2" w:rsidP="008D18D2">
      <w:pPr>
        <w:spacing w:after="240"/>
        <w:ind w:left="567" w:hanging="567"/>
        <w:jc w:val="both"/>
      </w:pPr>
      <w:r>
        <w:rPr>
          <w:b/>
        </w:rPr>
        <w:t>2.</w:t>
      </w:r>
      <w:r>
        <w:rPr>
          <w:b/>
        </w:rPr>
        <w:tab/>
        <w:t>Numéros de référence:</w:t>
      </w:r>
      <w:r>
        <w:t xml:space="preserve"> 2022/0196 (COD) / A9-0339/2023 / P9_TA(2023)0424</w:t>
      </w:r>
    </w:p>
    <w:p w14:paraId="030DF7AE" w14:textId="611D7F5F" w:rsidR="008D18D2" w:rsidRPr="002B7441" w:rsidRDefault="008D18D2" w:rsidP="008D18D2">
      <w:pPr>
        <w:spacing w:after="240"/>
        <w:ind w:left="567" w:hanging="567"/>
      </w:pPr>
      <w:r>
        <w:rPr>
          <w:b/>
        </w:rPr>
        <w:t>3.</w:t>
      </w:r>
      <w:r>
        <w:rPr>
          <w:b/>
        </w:rPr>
        <w:tab/>
        <w:t>Date d</w:t>
      </w:r>
      <w:r w:rsidR="007110AD">
        <w:rPr>
          <w:b/>
        </w:rPr>
        <w:t>’</w:t>
      </w:r>
      <w:r>
        <w:rPr>
          <w:b/>
        </w:rPr>
        <w:t xml:space="preserve">adoption de la résolution: </w:t>
      </w:r>
      <w:r>
        <w:t>22 novembre 2023</w:t>
      </w:r>
    </w:p>
    <w:p w14:paraId="49E391CC" w14:textId="77777777" w:rsidR="008D18D2" w:rsidRPr="002B7441" w:rsidRDefault="008D18D2" w:rsidP="008D18D2">
      <w:pPr>
        <w:spacing w:after="240"/>
        <w:ind w:left="567" w:hanging="567"/>
        <w:jc w:val="both"/>
      </w:pPr>
      <w:r>
        <w:rPr>
          <w:b/>
        </w:rPr>
        <w:t>4.</w:t>
      </w:r>
      <w:r>
        <w:rPr>
          <w:b/>
        </w:rPr>
        <w:tab/>
        <w:t xml:space="preserve">Base juridique: </w:t>
      </w:r>
      <w:r>
        <w:t xml:space="preserve">article 192, paragraphe 1, </w:t>
      </w:r>
      <w:r>
        <w:rPr>
          <w:rStyle w:val="doceo-font-family-base"/>
        </w:rPr>
        <w:t>du traité sur le fonctionnement de l’Union européenne</w:t>
      </w:r>
    </w:p>
    <w:p w14:paraId="3A5D12CF" w14:textId="77777777" w:rsidR="008D18D2" w:rsidRPr="002B7441" w:rsidRDefault="008D18D2" w:rsidP="008D18D2">
      <w:pPr>
        <w:spacing w:after="240"/>
        <w:ind w:left="567" w:hanging="567"/>
        <w:jc w:val="both"/>
        <w:rPr>
          <w:i/>
        </w:rPr>
      </w:pPr>
      <w:r>
        <w:rPr>
          <w:b/>
        </w:rPr>
        <w:t>5.</w:t>
      </w:r>
      <w:r>
        <w:rPr>
          <w:b/>
        </w:rPr>
        <w:tab/>
        <w:t>Commission parlementaire compétente:</w:t>
      </w:r>
      <w:r>
        <w:t xml:space="preserve"> commission de l’environnement, de la santé publique et de la sécurité alimentaire (ENVI)</w:t>
      </w:r>
    </w:p>
    <w:p w14:paraId="1FA7558F" w14:textId="14BE5352" w:rsidR="008D18D2" w:rsidRDefault="008D18D2" w:rsidP="008D18D2">
      <w:pPr>
        <w:tabs>
          <w:tab w:val="left" w:pos="567"/>
        </w:tabs>
        <w:spacing w:after="200" w:line="276" w:lineRule="auto"/>
        <w:rPr>
          <w:color w:val="000000"/>
          <w:szCs w:val="24"/>
        </w:rPr>
      </w:pPr>
      <w:r>
        <w:rPr>
          <w:b/>
        </w:rPr>
        <w:t>6.</w:t>
      </w:r>
      <w:r>
        <w:rPr>
          <w:b/>
        </w:rPr>
        <w:tab/>
        <w:t>Position de la Commission:</w:t>
      </w:r>
      <w:r>
        <w:rPr>
          <w:color w:val="000000"/>
          <w:sz w:val="22"/>
        </w:rPr>
        <w:t xml:space="preserve"> </w:t>
      </w:r>
      <w:r>
        <w:rPr>
          <w:color w:val="000000"/>
        </w:rPr>
        <w:t>la Commission a l’intention de retirer sa proposition d’ici au 31 mars 2024.</w:t>
      </w:r>
    </w:p>
    <w:p w14:paraId="7F02B4EB" w14:textId="2C5F8311" w:rsidR="007A5184" w:rsidRDefault="007A5184" w:rsidP="00015983">
      <w:pPr>
        <w:spacing w:after="120" w:line="240" w:lineRule="auto"/>
        <w:jc w:val="both"/>
        <w:rPr>
          <w:color w:val="000000"/>
          <w:szCs w:val="24"/>
        </w:rPr>
      </w:pPr>
      <w:r>
        <w:br w:type="page"/>
      </w:r>
    </w:p>
    <w:p w14:paraId="77353F59" w14:textId="77777777" w:rsidR="008D18D2" w:rsidRPr="009B1FF1" w:rsidRDefault="008D18D2" w:rsidP="008D18D2">
      <w:pPr>
        <w:spacing w:after="240" w:line="240" w:lineRule="auto"/>
        <w:jc w:val="center"/>
      </w:pPr>
      <w:r>
        <w:rPr>
          <w:b/>
        </w:rPr>
        <w:lastRenderedPageBreak/>
        <w:t>PROCÉDURE LÉGISLATIVE ORDINAIRE – Première lecture</w:t>
      </w:r>
    </w:p>
    <w:p w14:paraId="50CC42C0" w14:textId="41911E53" w:rsidR="008D18D2" w:rsidRPr="00930257" w:rsidRDefault="008D18D2" w:rsidP="008D18D2">
      <w:pPr>
        <w:spacing w:after="600" w:line="240" w:lineRule="auto"/>
        <w:jc w:val="center"/>
        <w:rPr>
          <w:b/>
          <w:bCs/>
        </w:rPr>
      </w:pPr>
      <w:bookmarkStart w:id="5" w:name="regcoop"/>
      <w:r>
        <w:rPr>
          <w:b/>
        </w:rPr>
        <w:t>Suite donnée à la résolution législative du Parlement européen sur la proposition de règlement du Parlement européen et du Conseil relatif à la numérisation de la coopération judiciaire et de l</w:t>
      </w:r>
      <w:r w:rsidR="007110AD">
        <w:rPr>
          <w:b/>
        </w:rPr>
        <w:t>’</w:t>
      </w:r>
      <w:r>
        <w:rPr>
          <w:b/>
        </w:rPr>
        <w:t>accès à la justice dans les affaires transfrontières civiles, commerciales et pénales, et modifiant certains actes dans le domaine de la coopération judiciaire</w:t>
      </w:r>
      <w:bookmarkEnd w:id="5"/>
    </w:p>
    <w:p w14:paraId="47299EAF" w14:textId="77777777" w:rsidR="008D18D2" w:rsidRPr="0087226F" w:rsidRDefault="008D18D2" w:rsidP="008D18D2">
      <w:pPr>
        <w:spacing w:after="240"/>
        <w:ind w:left="567" w:hanging="567"/>
      </w:pPr>
      <w:r>
        <w:rPr>
          <w:b/>
        </w:rPr>
        <w:t>1.</w:t>
      </w:r>
      <w:r>
        <w:rPr>
          <w:b/>
        </w:rPr>
        <w:tab/>
        <w:t xml:space="preserve">Rapporteurs: </w:t>
      </w:r>
      <w:r>
        <w:t>Emil RADEV (PPE / BG), Marina KALJURAND (S&amp;D / EE)</w:t>
      </w:r>
    </w:p>
    <w:p w14:paraId="22B97EBC" w14:textId="77777777" w:rsidR="008D18D2" w:rsidRPr="00900DC1" w:rsidRDefault="008D18D2" w:rsidP="008D18D2">
      <w:pPr>
        <w:spacing w:after="240"/>
        <w:ind w:left="567" w:hanging="567"/>
        <w:jc w:val="both"/>
      </w:pPr>
      <w:r>
        <w:rPr>
          <w:b/>
        </w:rPr>
        <w:t>2.</w:t>
      </w:r>
      <w:r>
        <w:rPr>
          <w:b/>
        </w:rPr>
        <w:tab/>
        <w:t>Numéros de référence:</w:t>
      </w:r>
      <w:r>
        <w:t xml:space="preserve"> 2021/0394 (COD) / A9-0062/2023 / P9_TA(2023)0432</w:t>
      </w:r>
    </w:p>
    <w:p w14:paraId="413FBFFF" w14:textId="3326E244" w:rsidR="008D18D2" w:rsidRPr="002B7441" w:rsidRDefault="008D18D2" w:rsidP="008D18D2">
      <w:pPr>
        <w:spacing w:after="240"/>
        <w:ind w:left="567" w:hanging="567"/>
      </w:pPr>
      <w:r>
        <w:rPr>
          <w:b/>
        </w:rPr>
        <w:t>3.</w:t>
      </w:r>
      <w:r>
        <w:rPr>
          <w:b/>
        </w:rPr>
        <w:tab/>
        <w:t>Date d</w:t>
      </w:r>
      <w:r w:rsidR="007110AD">
        <w:rPr>
          <w:b/>
        </w:rPr>
        <w:t>’</w:t>
      </w:r>
      <w:r>
        <w:rPr>
          <w:b/>
        </w:rPr>
        <w:t xml:space="preserve">adoption de la résolution: </w:t>
      </w:r>
      <w:r>
        <w:t>23 novembre 2023</w:t>
      </w:r>
    </w:p>
    <w:p w14:paraId="45B58156" w14:textId="77777777" w:rsidR="008D18D2" w:rsidRPr="002B7441" w:rsidRDefault="008D18D2" w:rsidP="008D18D2">
      <w:pPr>
        <w:spacing w:after="240"/>
        <w:ind w:left="567" w:hanging="567"/>
        <w:jc w:val="both"/>
      </w:pPr>
      <w:r>
        <w:rPr>
          <w:b/>
        </w:rPr>
        <w:t>4.</w:t>
      </w:r>
      <w:r>
        <w:rPr>
          <w:b/>
        </w:rPr>
        <w:tab/>
        <w:t xml:space="preserve">Base juridique: </w:t>
      </w:r>
      <w:r>
        <w:t xml:space="preserve">article 81, paragraphe 2, points e) et f), et article 82, paragraphe 1, point d), </w:t>
      </w:r>
      <w:r>
        <w:rPr>
          <w:rStyle w:val="doceo-font-family-base"/>
        </w:rPr>
        <w:t>du traité sur le fonctionnement de l’Union européenne</w:t>
      </w:r>
    </w:p>
    <w:p w14:paraId="5F2FA911" w14:textId="77777777" w:rsidR="008D18D2" w:rsidRPr="002B7441" w:rsidRDefault="008D18D2" w:rsidP="008D18D2">
      <w:pPr>
        <w:spacing w:after="240"/>
        <w:ind w:left="567" w:hanging="567"/>
        <w:jc w:val="both"/>
        <w:rPr>
          <w:i/>
        </w:rPr>
      </w:pPr>
      <w:r>
        <w:rPr>
          <w:b/>
        </w:rPr>
        <w:t>5.</w:t>
      </w:r>
      <w:r>
        <w:rPr>
          <w:b/>
        </w:rPr>
        <w:tab/>
        <w:t>Commission parlementaire compétente:</w:t>
      </w:r>
      <w:r>
        <w:t xml:space="preserve"> commission des libertés civiles, de la justice et des affaires intérieures (LIBE), commission des affaires juridiques (JURI)</w:t>
      </w:r>
    </w:p>
    <w:p w14:paraId="5EBADBC0" w14:textId="6085E838" w:rsidR="00563633" w:rsidRDefault="008D18D2" w:rsidP="008D18D2">
      <w:pPr>
        <w:tabs>
          <w:tab w:val="left" w:pos="567"/>
        </w:tabs>
        <w:spacing w:after="200" w:line="276" w:lineRule="auto"/>
        <w:rPr>
          <w:color w:val="000000"/>
          <w:szCs w:val="24"/>
        </w:rPr>
      </w:pPr>
      <w:r>
        <w:rPr>
          <w:b/>
        </w:rPr>
        <w:t>6.</w:t>
      </w:r>
      <w:r>
        <w:rPr>
          <w:b/>
        </w:rPr>
        <w:tab/>
        <w:t>Position de la Commission:</w:t>
      </w:r>
      <w:r>
        <w:rPr>
          <w:color w:val="000000"/>
          <w:sz w:val="22"/>
        </w:rPr>
        <w:t xml:space="preserve"> </w:t>
      </w:r>
      <w:r>
        <w:rPr>
          <w:color w:val="000000"/>
        </w:rPr>
        <w:t>la Commission accepte tous les amendements.</w:t>
      </w:r>
    </w:p>
    <w:p w14:paraId="1D09F4DC" w14:textId="77777777" w:rsidR="00563633" w:rsidRDefault="00563633">
      <w:pPr>
        <w:spacing w:after="200" w:line="276" w:lineRule="auto"/>
        <w:rPr>
          <w:color w:val="000000"/>
          <w:szCs w:val="24"/>
        </w:rPr>
      </w:pPr>
      <w:r>
        <w:br w:type="page"/>
      </w:r>
    </w:p>
    <w:p w14:paraId="0C0FFFFC" w14:textId="77777777" w:rsidR="008D18D2" w:rsidRPr="009B1FF1" w:rsidRDefault="008D18D2" w:rsidP="008D18D2">
      <w:pPr>
        <w:spacing w:after="240" w:line="240" w:lineRule="auto"/>
        <w:jc w:val="center"/>
      </w:pPr>
      <w:r>
        <w:rPr>
          <w:b/>
        </w:rPr>
        <w:lastRenderedPageBreak/>
        <w:t>PROCÉDURE LÉGISLATIVE ORDINAIRE – Première lecture</w:t>
      </w:r>
    </w:p>
    <w:p w14:paraId="5CDC16A6" w14:textId="77777777" w:rsidR="008D18D2" w:rsidRPr="007533EF" w:rsidRDefault="008D18D2" w:rsidP="008D18D2">
      <w:pPr>
        <w:spacing w:after="600" w:line="240" w:lineRule="auto"/>
        <w:jc w:val="center"/>
        <w:rPr>
          <w:b/>
          <w:bCs/>
        </w:rPr>
      </w:pPr>
      <w:bookmarkStart w:id="6" w:name="dircoop"/>
      <w:r>
        <w:rPr>
          <w:b/>
        </w:rPr>
        <w:t>Suite donnée à la résolution législative du Parlement européen sur la proposition de directive du Parlement européen et du Conseil modifiant la directive 2003/8/CE du Conseil, les décisions-cadres 2002/465/JAI, 2002/584/JAI, 2003/577/JAI, 2005/214/JAI, 2006/783/JAI, 2008/909/JAI, 2008/947/JAI, 2009/829/JAI et 2009/948/JAI du Conseil et la directive 2014/41/UE du Parlement européen et du Conseil, en ce qui concerne la numérisation de la coopération judiciaire</w:t>
      </w:r>
    </w:p>
    <w:bookmarkEnd w:id="6"/>
    <w:p w14:paraId="025DCFAD" w14:textId="77777777" w:rsidR="008D18D2" w:rsidRPr="0087226F" w:rsidRDefault="008D18D2" w:rsidP="008D18D2">
      <w:pPr>
        <w:spacing w:after="240"/>
        <w:ind w:left="567" w:hanging="567"/>
      </w:pPr>
      <w:r>
        <w:rPr>
          <w:b/>
        </w:rPr>
        <w:t>1.</w:t>
      </w:r>
      <w:r>
        <w:rPr>
          <w:b/>
        </w:rPr>
        <w:tab/>
        <w:t xml:space="preserve">Rapporteurs: </w:t>
      </w:r>
      <w:r>
        <w:t>Emil RADEV (PPE / BG), Marina KALJURAND (S&amp;D / EE)</w:t>
      </w:r>
    </w:p>
    <w:p w14:paraId="63F4CC81" w14:textId="77777777" w:rsidR="008D18D2" w:rsidRPr="00900DC1" w:rsidRDefault="008D18D2" w:rsidP="008D18D2">
      <w:pPr>
        <w:spacing w:after="240"/>
        <w:ind w:left="567" w:hanging="567"/>
        <w:jc w:val="both"/>
      </w:pPr>
      <w:r>
        <w:rPr>
          <w:b/>
        </w:rPr>
        <w:t>2.</w:t>
      </w:r>
      <w:r>
        <w:rPr>
          <w:b/>
        </w:rPr>
        <w:tab/>
        <w:t>Numéros de référence:</w:t>
      </w:r>
      <w:r>
        <w:t xml:space="preserve"> 2021/0395 (COD) / A9-0063/2023 / P9_TA(2023)0433</w:t>
      </w:r>
    </w:p>
    <w:p w14:paraId="41565498" w14:textId="5AAE368C" w:rsidR="008D18D2" w:rsidRPr="002B7441" w:rsidRDefault="008D18D2" w:rsidP="008D18D2">
      <w:pPr>
        <w:spacing w:after="240"/>
        <w:ind w:left="567" w:hanging="567"/>
      </w:pPr>
      <w:r>
        <w:rPr>
          <w:b/>
        </w:rPr>
        <w:t>3.</w:t>
      </w:r>
      <w:r>
        <w:rPr>
          <w:b/>
        </w:rPr>
        <w:tab/>
        <w:t>Date d</w:t>
      </w:r>
      <w:r w:rsidR="007110AD">
        <w:rPr>
          <w:b/>
        </w:rPr>
        <w:t>’</w:t>
      </w:r>
      <w:r>
        <w:rPr>
          <w:b/>
        </w:rPr>
        <w:t xml:space="preserve">adoption de la résolution: </w:t>
      </w:r>
      <w:r>
        <w:t>23 novembre 2023</w:t>
      </w:r>
    </w:p>
    <w:p w14:paraId="27F832FF" w14:textId="77777777" w:rsidR="008D18D2" w:rsidRPr="002B7441" w:rsidRDefault="008D18D2" w:rsidP="008D18D2">
      <w:pPr>
        <w:spacing w:after="240"/>
        <w:ind w:left="567" w:hanging="567"/>
        <w:jc w:val="both"/>
      </w:pPr>
      <w:r>
        <w:rPr>
          <w:b/>
        </w:rPr>
        <w:t>4.</w:t>
      </w:r>
      <w:r>
        <w:rPr>
          <w:b/>
        </w:rPr>
        <w:tab/>
        <w:t xml:space="preserve">Base juridique: </w:t>
      </w:r>
      <w:r>
        <w:t xml:space="preserve">article 81, paragraphe 2, points e) et f), et article 82, paragraphe 1, point d), </w:t>
      </w:r>
      <w:r>
        <w:rPr>
          <w:rStyle w:val="doceo-font-family-base"/>
        </w:rPr>
        <w:t>du traité sur le fonctionnement de l’Union européenne</w:t>
      </w:r>
    </w:p>
    <w:p w14:paraId="77C92A10" w14:textId="77777777" w:rsidR="008D18D2" w:rsidRPr="007533EF" w:rsidRDefault="008D18D2" w:rsidP="008D18D2">
      <w:pPr>
        <w:spacing w:after="240"/>
        <w:ind w:left="567" w:hanging="567"/>
        <w:jc w:val="both"/>
        <w:rPr>
          <w:i/>
        </w:rPr>
      </w:pPr>
      <w:r>
        <w:rPr>
          <w:b/>
        </w:rPr>
        <w:t>5.</w:t>
      </w:r>
      <w:r>
        <w:rPr>
          <w:b/>
        </w:rPr>
        <w:tab/>
        <w:t>Commission parlementaire compétente:</w:t>
      </w:r>
      <w:r>
        <w:t xml:space="preserve"> commission des libertés civiles, de la justice et des affaires intérieures (LIBE), commission des affaires juridiques (JURI)</w:t>
      </w:r>
    </w:p>
    <w:p w14:paraId="634F1F64" w14:textId="35AC8DD0" w:rsidR="00A976FB" w:rsidRDefault="008D18D2" w:rsidP="008D18D2">
      <w:pPr>
        <w:tabs>
          <w:tab w:val="left" w:pos="567"/>
        </w:tabs>
        <w:spacing w:after="200" w:line="276" w:lineRule="auto"/>
        <w:rPr>
          <w:color w:val="000000"/>
          <w:szCs w:val="24"/>
        </w:rPr>
      </w:pPr>
      <w:r>
        <w:rPr>
          <w:b/>
        </w:rPr>
        <w:t>6.</w:t>
      </w:r>
      <w:r>
        <w:rPr>
          <w:b/>
        </w:rPr>
        <w:tab/>
        <w:t>Position de la Commission:</w:t>
      </w:r>
      <w:r>
        <w:rPr>
          <w:color w:val="000000"/>
          <w:sz w:val="22"/>
        </w:rPr>
        <w:t xml:space="preserve"> </w:t>
      </w:r>
      <w:r>
        <w:rPr>
          <w:color w:val="000000"/>
        </w:rPr>
        <w:t>la Commission accepte tous les amendements.</w:t>
      </w:r>
    </w:p>
    <w:p w14:paraId="3C7668DD" w14:textId="77777777" w:rsidR="00A976FB" w:rsidRDefault="00A976FB">
      <w:pPr>
        <w:spacing w:after="200" w:line="276" w:lineRule="auto"/>
        <w:rPr>
          <w:color w:val="000000"/>
          <w:szCs w:val="24"/>
        </w:rPr>
      </w:pPr>
      <w:r>
        <w:br w:type="page"/>
      </w:r>
    </w:p>
    <w:p w14:paraId="31435A1B" w14:textId="72FE0122" w:rsidR="00F934E8" w:rsidRPr="009B1FF1" w:rsidRDefault="00F934E8" w:rsidP="00F934E8">
      <w:pPr>
        <w:spacing w:after="240" w:line="240" w:lineRule="auto"/>
        <w:jc w:val="center"/>
      </w:pPr>
      <w:r>
        <w:rPr>
          <w:b/>
        </w:rPr>
        <w:lastRenderedPageBreak/>
        <w:t xml:space="preserve">PROCÉDURE LÉGISLATIVE SPÉCIALE </w:t>
      </w:r>
    </w:p>
    <w:p w14:paraId="7FE48BBB" w14:textId="6D5C4A74" w:rsidR="00F934E8" w:rsidRPr="00D06C90" w:rsidRDefault="00F934E8" w:rsidP="00F934E8">
      <w:pPr>
        <w:spacing w:after="600" w:line="240" w:lineRule="auto"/>
        <w:jc w:val="center"/>
        <w:rPr>
          <w:b/>
          <w:bCs/>
        </w:rPr>
      </w:pPr>
      <w:bookmarkStart w:id="7" w:name="digagedir"/>
      <w:bookmarkStart w:id="8" w:name="digage"/>
      <w:r>
        <w:rPr>
          <w:b/>
        </w:rPr>
        <w:t>Suite donnée à la résolution législative du Parlement européen sur la proposition de directive du Conseil modifiant la directive 2006/112/CE en ce qui concerne les règles en matière de TVA adaptées à l’ère numérique et à la résolution législative sur la proposition de règlement du Conseil modifiant le règlement (UE) n° 904/2010 en ce qui concerne les modalités de coopération administrative en matière de TVA nécessaires à l’ère numérique</w:t>
      </w:r>
    </w:p>
    <w:bookmarkEnd w:id="7"/>
    <w:bookmarkEnd w:id="8"/>
    <w:p w14:paraId="7DD18189" w14:textId="77777777" w:rsidR="00F934E8" w:rsidRPr="00D06C90" w:rsidRDefault="00F934E8" w:rsidP="00F934E8">
      <w:pPr>
        <w:spacing w:after="240"/>
        <w:ind w:left="567" w:hanging="567"/>
      </w:pPr>
      <w:r>
        <w:rPr>
          <w:b/>
        </w:rPr>
        <w:t>1.</w:t>
      </w:r>
      <w:r>
        <w:rPr>
          <w:b/>
        </w:rPr>
        <w:tab/>
        <w:t xml:space="preserve">Rapporteur: </w:t>
      </w:r>
      <w:r>
        <w:t>Olivier CHASTEL (Renew / BE)</w:t>
      </w:r>
    </w:p>
    <w:p w14:paraId="696367AB" w14:textId="6EA02AAD" w:rsidR="00F934E8" w:rsidRPr="00900DC1" w:rsidRDefault="00F934E8" w:rsidP="00F934E8">
      <w:pPr>
        <w:spacing w:after="240"/>
        <w:ind w:left="567" w:hanging="567"/>
        <w:jc w:val="both"/>
      </w:pPr>
      <w:r>
        <w:rPr>
          <w:b/>
        </w:rPr>
        <w:t>2.</w:t>
      </w:r>
      <w:r>
        <w:rPr>
          <w:b/>
        </w:rPr>
        <w:tab/>
        <w:t>Numéros de référence:</w:t>
      </w:r>
      <w:r>
        <w:t xml:space="preserve"> 2022/0407 (CNS) / A9-0327/2023 / P9_TA(2023)0421; 2022/0409 (CNS) / A9-0324/2023 / P9_TA(2023)0422</w:t>
      </w:r>
    </w:p>
    <w:p w14:paraId="258CF18D" w14:textId="16790FBD" w:rsidR="00F934E8" w:rsidRPr="002B7441" w:rsidRDefault="00F934E8" w:rsidP="00F934E8">
      <w:pPr>
        <w:spacing w:after="240"/>
        <w:ind w:left="567" w:hanging="567"/>
      </w:pPr>
      <w:r>
        <w:rPr>
          <w:b/>
        </w:rPr>
        <w:t>3.</w:t>
      </w:r>
      <w:r>
        <w:rPr>
          <w:b/>
        </w:rPr>
        <w:tab/>
        <w:t>Date d</w:t>
      </w:r>
      <w:r w:rsidR="007110AD">
        <w:rPr>
          <w:b/>
        </w:rPr>
        <w:t>’</w:t>
      </w:r>
      <w:r>
        <w:rPr>
          <w:b/>
        </w:rPr>
        <w:t xml:space="preserve">adoption de la résolution: </w:t>
      </w:r>
      <w:r>
        <w:t>22 novembre 2023</w:t>
      </w:r>
    </w:p>
    <w:p w14:paraId="2B1B6D50" w14:textId="77777777" w:rsidR="00F934E8" w:rsidRPr="002B7441" w:rsidRDefault="00F934E8" w:rsidP="00F934E8">
      <w:pPr>
        <w:spacing w:after="240"/>
        <w:ind w:left="567" w:hanging="567"/>
        <w:jc w:val="both"/>
      </w:pPr>
      <w:r>
        <w:rPr>
          <w:b/>
        </w:rPr>
        <w:t>4.</w:t>
      </w:r>
      <w:r>
        <w:rPr>
          <w:b/>
        </w:rPr>
        <w:tab/>
        <w:t xml:space="preserve">Base juridique: </w:t>
      </w:r>
      <w:r>
        <w:t xml:space="preserve">article 113 </w:t>
      </w:r>
      <w:r>
        <w:rPr>
          <w:rStyle w:val="doceo-font-family-base"/>
        </w:rPr>
        <w:t>du traité sur le fonctionnement de l’Union européenne</w:t>
      </w:r>
    </w:p>
    <w:p w14:paraId="563D6DA7" w14:textId="77777777" w:rsidR="00F934E8" w:rsidRPr="002B7441" w:rsidRDefault="00F934E8" w:rsidP="00F934E8">
      <w:pPr>
        <w:spacing w:after="240"/>
        <w:ind w:left="567" w:hanging="567"/>
        <w:jc w:val="both"/>
        <w:rPr>
          <w:i/>
        </w:rPr>
      </w:pPr>
      <w:r>
        <w:rPr>
          <w:b/>
        </w:rPr>
        <w:t>5.</w:t>
      </w:r>
      <w:r>
        <w:rPr>
          <w:b/>
        </w:rPr>
        <w:tab/>
        <w:t>Commission parlementaire compétente:</w:t>
      </w:r>
      <w:r>
        <w:t xml:space="preserve"> commission des affaires économiques et monétaires (ECON)</w:t>
      </w:r>
    </w:p>
    <w:p w14:paraId="0DA48679" w14:textId="77777777" w:rsidR="00F934E8" w:rsidRDefault="00F934E8" w:rsidP="00F934E8">
      <w:pPr>
        <w:tabs>
          <w:tab w:val="left" w:pos="567"/>
        </w:tabs>
        <w:spacing w:after="200" w:line="276" w:lineRule="auto"/>
        <w:rPr>
          <w:color w:val="000000"/>
          <w:szCs w:val="24"/>
        </w:rPr>
      </w:pPr>
      <w:r>
        <w:rPr>
          <w:b/>
        </w:rPr>
        <w:t>6.</w:t>
      </w:r>
      <w:r>
        <w:rPr>
          <w:b/>
        </w:rPr>
        <w:tab/>
        <w:t>Position de la Commission:</w:t>
      </w:r>
      <w:r>
        <w:rPr>
          <w:color w:val="000000"/>
          <w:sz w:val="22"/>
        </w:rPr>
        <w:t xml:space="preserve"> </w:t>
      </w:r>
      <w:r>
        <w:rPr>
          <w:color w:val="000000"/>
        </w:rPr>
        <w:t>la Commission accepte certains amendements.</w:t>
      </w:r>
    </w:p>
    <w:p w14:paraId="32E61488" w14:textId="77777777" w:rsidR="00B802B5" w:rsidRDefault="00B802B5" w:rsidP="00B802B5">
      <w:pPr>
        <w:spacing w:after="120"/>
        <w:jc w:val="both"/>
        <w:rPr>
          <w:b/>
          <w:bCs/>
          <w:szCs w:val="24"/>
        </w:rPr>
      </w:pPr>
      <w:r>
        <w:rPr>
          <w:b/>
        </w:rPr>
        <w:t>Partie I Généralités</w:t>
      </w:r>
    </w:p>
    <w:p w14:paraId="24152868" w14:textId="77777777" w:rsidR="00B802B5" w:rsidRDefault="00B802B5" w:rsidP="00B802B5">
      <w:pPr>
        <w:spacing w:after="120"/>
        <w:jc w:val="both"/>
        <w:rPr>
          <w:b/>
          <w:bCs/>
          <w:szCs w:val="24"/>
          <w:u w:val="single"/>
        </w:rPr>
      </w:pPr>
      <w:r>
        <w:rPr>
          <w:b/>
          <w:u w:val="single"/>
        </w:rPr>
        <w:t>Thème 1 – Sur la proportionnalité des mesures et l’incidence sur la protection des données</w:t>
      </w:r>
    </w:p>
    <w:p w14:paraId="745D0B5E" w14:textId="27EEF412" w:rsidR="00B802B5" w:rsidRDefault="00B802B5" w:rsidP="00B802B5">
      <w:pPr>
        <w:spacing w:after="120"/>
        <w:jc w:val="both"/>
        <w:rPr>
          <w:b/>
          <w:bCs/>
          <w:szCs w:val="24"/>
        </w:rPr>
      </w:pPr>
      <w:r>
        <w:rPr>
          <w:b/>
        </w:rPr>
        <w:t>Les amendements 1, 2, 3, 4, 5, 10, 13, 22, 29 et 50 de la résolution sur la directive, ainsi que les amendements 13, 14 et 24 de la résolution sur le règlement préconisent des amendements faisant spécifiquement référence, dans le texte des propositions, à la nécessité de respecter le principe de proportionnalité et les règles relatives à la protection des données.</w:t>
      </w:r>
    </w:p>
    <w:p w14:paraId="3A624676" w14:textId="7DF7CB85" w:rsidR="00B802B5" w:rsidRDefault="00B802B5" w:rsidP="00B802B5">
      <w:pPr>
        <w:spacing w:after="120"/>
        <w:jc w:val="both"/>
        <w:rPr>
          <w:i/>
          <w:iCs/>
          <w:szCs w:val="24"/>
        </w:rPr>
      </w:pPr>
      <w:r>
        <w:rPr>
          <w:i/>
        </w:rPr>
        <w:t>Position de la Commission: la Commission accepte l’esprit des amendements, mais rejette ces derniers en tant que tels.</w:t>
      </w:r>
    </w:p>
    <w:p w14:paraId="1DF29C29" w14:textId="7095BD02" w:rsidR="00B802B5" w:rsidRDefault="00B802B5" w:rsidP="00B802B5">
      <w:pPr>
        <w:spacing w:after="120"/>
        <w:jc w:val="both"/>
        <w:rPr>
          <w:szCs w:val="24"/>
        </w:rPr>
      </w:pPr>
      <w:r>
        <w:t>La Commission convient que les questions de proportionnalité et les règles relatives à la protection des données sont extrêmement importantes lors de l’examen des propositions législatives et elle a déjà examiné attentivement, lors de l’élaboration de la législation, la proportionnalité des mesures du paquet, en particulier au cours du processus d’élaboration de l’analyse d’impact qui l’accompagne. En outre, la Commission a consulté le Contrôleur européen de la protection des données (CEPD) avant l’adoption de sa proposition et a veillé à ce que les mesures soient conformes à ses lignes directrices. L’avis du CEPD est favorable à la proposition en ce qu’elle respecte notamment le principe de minimisation des données. Par conséquent, la Commission partage certes l’esprit des recommandations du Parlement européen, mais cette question est déjà couverte par la proposition.</w:t>
      </w:r>
    </w:p>
    <w:p w14:paraId="41922359" w14:textId="77777777" w:rsidR="00B802B5" w:rsidRDefault="00B802B5" w:rsidP="00B802B5">
      <w:pPr>
        <w:spacing w:after="120"/>
        <w:jc w:val="both"/>
        <w:rPr>
          <w:b/>
          <w:bCs/>
          <w:szCs w:val="24"/>
          <w:u w:val="single"/>
        </w:rPr>
      </w:pPr>
      <w:r>
        <w:rPr>
          <w:b/>
          <w:u w:val="single"/>
        </w:rPr>
        <w:t>Thème 2 – Amendements relatifs aux incitations, aux orientations ou à l’assistance technique à fournir par la Commission et les États membres au cours de la phase de mise en œuvre</w:t>
      </w:r>
    </w:p>
    <w:p w14:paraId="530C1780" w14:textId="5EA3DFE6" w:rsidR="00B802B5" w:rsidRDefault="00B802B5" w:rsidP="00B802B5">
      <w:pPr>
        <w:spacing w:after="120"/>
        <w:jc w:val="both"/>
        <w:rPr>
          <w:b/>
          <w:bCs/>
          <w:szCs w:val="24"/>
        </w:rPr>
      </w:pPr>
      <w:r>
        <w:rPr>
          <w:b/>
        </w:rPr>
        <w:t xml:space="preserve">Les amendements 35, 57, 64 et 86 de la résolution sur la directive et les amendements 12 et 46 de la résolution sur le règlement demandent que la Commission encourage les </w:t>
      </w:r>
      <w:r>
        <w:rPr>
          <w:b/>
        </w:rPr>
        <w:lastRenderedPageBreak/>
        <w:t>petites plateformes à se conformer aux règles (plateforme), à publier la norme de l’UE sur la facturation électronique</w:t>
      </w:r>
      <w:r>
        <w:t xml:space="preserve"> [directive 2014/55/UE du Parlement européen et du Conseil du 16 avril 2014 relative à la facturation électronique dans le cadre des marchés publics (JO L 133 du 6.5.2014, p. 1)] </w:t>
      </w:r>
      <w:r>
        <w:rPr>
          <w:b/>
        </w:rPr>
        <w:t>sur son site internet (obligations de déclaration numérique)</w:t>
      </w:r>
      <w:r>
        <w:t>;</w:t>
      </w:r>
      <w:r>
        <w:rPr>
          <w:b/>
        </w:rPr>
        <w:t xml:space="preserve"> à soutenir les États membres dans l’élaboration de leurs systèmes nationaux (obligations de déclaration numérique); à mettre au point des logiciels permettant aux entreprises de faire rapport aux administrations fiscales (obligations de déclaration numérique); à fournir des «solutions pratiques» pour réduire les coûts de mise en œuvre (obligations de déclaration numérique) et pour que les États membres fournissent des orientations aux petites entreprises qui souhaiteraient s’immatriculer à la TVA (plateformes).</w:t>
      </w:r>
    </w:p>
    <w:p w14:paraId="036B3B01" w14:textId="264795EB" w:rsidR="00B802B5" w:rsidRDefault="00B802B5" w:rsidP="00B802B5">
      <w:pPr>
        <w:spacing w:after="120"/>
        <w:jc w:val="both"/>
        <w:rPr>
          <w:i/>
          <w:iCs/>
          <w:szCs w:val="24"/>
        </w:rPr>
      </w:pPr>
      <w:r>
        <w:rPr>
          <w:i/>
        </w:rPr>
        <w:t>Position de la Commission: la Commission accepte l’esprit des amendements, mais rejette ces derniers en tant que tels.</w:t>
      </w:r>
    </w:p>
    <w:p w14:paraId="33CE88CC" w14:textId="4E9A4B62" w:rsidR="00B802B5" w:rsidRDefault="00B802B5" w:rsidP="00B802B5">
      <w:pPr>
        <w:spacing w:after="120"/>
        <w:jc w:val="both"/>
        <w:rPr>
          <w:rFonts w:asciiTheme="minorHAnsi" w:eastAsiaTheme="minorEastAsia" w:hAnsiTheme="minorHAnsi" w:cstheme="minorBidi"/>
          <w:szCs w:val="24"/>
        </w:rPr>
      </w:pPr>
      <w:r>
        <w:t>La Commission croit comprendre qu’il s’agit de mesures nouvelles et d’une certaine complexité, dont la mise en œuvre nécessiterait des orientations et un soutien technique tant pour les entreprises que pour les États membres. La norme de l’UE sur la facturation électronique est déjà publiée sur le site internet de la Commission, et cette dernière s’est déjà engagée à aider les États membres à développer leurs systèmes nationaux. Toutefois, le développement du logiciel permettant aux entreprises de faire rapport aux systèmes nationaux doit être effectué par les États membres eux-mêmes afin que les systèmes soient compatibles avec les systèmes existants des États membres. La Commission fournira, à la suite de l’adoption des mesures, des notes explicatives détaillées qui contiendront de plus amples informations et orientations sur leur application pratique à l’intention des entreprises et des États membres. Il convient de noter que le train de mesures sur la TVA à l’ère numérique engendre une simplification et une réduction importantes des coûts pour les petites et moyennes entreprises (PME), notamment en ce qui concerne les obligations de déclaration.</w:t>
      </w:r>
    </w:p>
    <w:p w14:paraId="179B878C" w14:textId="4E64C692" w:rsidR="00B802B5" w:rsidRDefault="00B802B5" w:rsidP="00B802B5">
      <w:pPr>
        <w:spacing w:after="120"/>
        <w:jc w:val="both"/>
        <w:rPr>
          <w:b/>
          <w:bCs/>
          <w:szCs w:val="24"/>
          <w:u w:val="single"/>
        </w:rPr>
      </w:pPr>
      <w:r>
        <w:rPr>
          <w:b/>
          <w:u w:val="single"/>
        </w:rPr>
        <w:t>Thème 3 – Sur le partage des données issues du système central d’échange d’informations sur la TVA (VIES) avec l’OLAF, le Parquet européen et Europol</w:t>
      </w:r>
    </w:p>
    <w:p w14:paraId="0C5939C0" w14:textId="774CFAA0" w:rsidR="00B802B5" w:rsidRDefault="00B802B5" w:rsidP="00B802B5">
      <w:pPr>
        <w:spacing w:after="120"/>
        <w:jc w:val="both"/>
        <w:rPr>
          <w:b/>
          <w:bCs/>
          <w:szCs w:val="24"/>
        </w:rPr>
      </w:pPr>
      <w:r>
        <w:rPr>
          <w:b/>
        </w:rPr>
        <w:t>L’amendement 26 de la résolution sur la directive et les amendements 5, 7, 15 à 17, 27, 29, 31 à 33, 54 à 56 et 58 de la résolution sur le règlement préconisent le partage des données VIES avec le Parquet européen, l’OLAF et Europol afin d’aider ces agences à lutter contre la fraude.</w:t>
      </w:r>
    </w:p>
    <w:p w14:paraId="3C7833A0" w14:textId="123E876C" w:rsidR="00B802B5" w:rsidRDefault="00B802B5" w:rsidP="00B802B5">
      <w:pPr>
        <w:spacing w:after="120"/>
        <w:jc w:val="both"/>
        <w:rPr>
          <w:i/>
          <w:iCs/>
          <w:szCs w:val="24"/>
        </w:rPr>
      </w:pPr>
      <w:r>
        <w:rPr>
          <w:i/>
        </w:rPr>
        <w:t>Position de la Commission: la Commission accepte l’esprit des amendements, mais rejette ces derniers en tant que tels.</w:t>
      </w:r>
    </w:p>
    <w:p w14:paraId="34D45CEE" w14:textId="410EA1B5" w:rsidR="00B802B5" w:rsidRDefault="00B802B5" w:rsidP="00B802B5">
      <w:pPr>
        <w:spacing w:after="120"/>
        <w:jc w:val="both"/>
      </w:pPr>
      <w:r>
        <w:t xml:space="preserve">L’octroi à d’autres organismes de l’accès aux données du système VIES central fera l’objet, en 2024, d’une proposition spécifique de la Commission qui couvrira en profondeur la coopération des États membres avec d’autres entités en matière de lutte contre la fraude à la TVA. Par conséquent, il n’y a pas lieu de prévoir de telles mesures dans cette proposition, ce qui serait également prématuré étant donné que la création du système VIES central n’a pas encore été approuvée. La proposition spécifique abordera la question de manière plus générale et inclura des solutions qui prendront effet avant le développement du système VIES central. Il comprendra en particulier une amélioration du cadre actuel de coopération d’Eurofisc avec l’OLAF et Europol, d’une part, et l’inclusion du Parquet européen dans le règlement (UE) n° 904/2010 afin de renforcer son accès aux informations relatives à la TVA au niveau de l’UE, d’autre part. Dans tous les cas, les informations partagées au moyen de ce nouveau cadre comprendraient des informations provenant du système VIES pertinentes pour l’exercice des compétences des organismes visés, tandis que l’accès direct au système VIES central pour tous ces organismes pourrait soulever des questions fondamentales en termes de proportionnalité. La Commission, après analyse des incidences, notamment sur le droit à la </w:t>
      </w:r>
      <w:r>
        <w:lastRenderedPageBreak/>
        <w:t>protection des données à caractère personnel, peut veiller à ce que le traitement des données à caractère personnel au titre de la proposition soit limité à ce qui est nécessaire et proportionné.</w:t>
      </w:r>
    </w:p>
    <w:p w14:paraId="11DF5ADA" w14:textId="77777777" w:rsidR="00B802B5" w:rsidRDefault="00B802B5" w:rsidP="00B802B5">
      <w:pPr>
        <w:spacing w:after="120"/>
        <w:jc w:val="both"/>
        <w:rPr>
          <w:b/>
          <w:bCs/>
          <w:szCs w:val="24"/>
          <w:u w:val="single"/>
        </w:rPr>
      </w:pPr>
      <w:r>
        <w:rPr>
          <w:b/>
          <w:u w:val="single"/>
        </w:rPr>
        <w:t>Thème 4 – La Commission devrait réaliser des études sur la mise en œuvre effective de différents éléments de la proposition</w:t>
      </w:r>
    </w:p>
    <w:p w14:paraId="4B87BB18" w14:textId="66B4B9FC" w:rsidR="00B802B5" w:rsidRDefault="00B802B5" w:rsidP="00B802B5">
      <w:pPr>
        <w:spacing w:after="120"/>
        <w:jc w:val="both"/>
        <w:rPr>
          <w:b/>
          <w:bCs/>
          <w:szCs w:val="24"/>
        </w:rPr>
      </w:pPr>
      <w:r>
        <w:rPr>
          <w:b/>
        </w:rPr>
        <w:t>Les amendements 30, 65, 76 et 109 de la résolution sur la directive demandent que la Commission réalise des études sur l’efficacité de la mesure relative au prestataire présumé et sur l’incidence de l’article 194 sur la fraude intracommunautaire à l’opérateur défaillant (MTIC), et insère une clause de réexamen pour le guichet unique.</w:t>
      </w:r>
    </w:p>
    <w:p w14:paraId="69749370" w14:textId="4F6CE1C4" w:rsidR="00B802B5" w:rsidRDefault="00B802B5" w:rsidP="007658FA">
      <w:pPr>
        <w:spacing w:after="120" w:line="240" w:lineRule="auto"/>
        <w:jc w:val="both"/>
        <w:rPr>
          <w:i/>
          <w:iCs/>
          <w:szCs w:val="24"/>
        </w:rPr>
      </w:pPr>
      <w:r>
        <w:rPr>
          <w:i/>
        </w:rPr>
        <w:t>Position de la Commission: la Commission accepte les amendements.</w:t>
      </w:r>
    </w:p>
    <w:p w14:paraId="671319CA" w14:textId="10B48837" w:rsidR="00B802B5" w:rsidRDefault="00B802B5" w:rsidP="007658FA">
      <w:pPr>
        <w:spacing w:after="120" w:line="240" w:lineRule="auto"/>
        <w:jc w:val="both"/>
        <w:rPr>
          <w:szCs w:val="24"/>
        </w:rPr>
      </w:pPr>
      <w:r>
        <w:t>La Commission convient qu’un réexamen du train de mesures constitue une approche raisonnable et s’engagera à proposer au Conseil l’inclusion d’un examen à mi-parcours.</w:t>
      </w:r>
    </w:p>
    <w:p w14:paraId="0F76D8C0" w14:textId="77777777" w:rsidR="00B802B5" w:rsidRDefault="00B802B5" w:rsidP="007658FA">
      <w:pPr>
        <w:keepNext/>
        <w:keepLines/>
        <w:spacing w:after="120"/>
        <w:jc w:val="both"/>
        <w:rPr>
          <w:b/>
          <w:bCs/>
          <w:szCs w:val="24"/>
        </w:rPr>
      </w:pPr>
      <w:r>
        <w:rPr>
          <w:b/>
          <w:u w:val="single"/>
        </w:rPr>
        <w:t>Thème 5 – Sur le calendrier de mise en œuvre de la proposition</w:t>
      </w:r>
      <w:r>
        <w:rPr>
          <w:b/>
        </w:rPr>
        <w:t xml:space="preserve"> </w:t>
      </w:r>
    </w:p>
    <w:p w14:paraId="2EA144AE" w14:textId="1D47E28B" w:rsidR="00B802B5" w:rsidRDefault="00B802B5" w:rsidP="007658FA">
      <w:pPr>
        <w:keepNext/>
        <w:keepLines/>
        <w:spacing w:after="120"/>
        <w:jc w:val="both"/>
        <w:rPr>
          <w:b/>
          <w:bCs/>
          <w:szCs w:val="24"/>
        </w:rPr>
      </w:pPr>
      <w:r>
        <w:rPr>
          <w:b/>
        </w:rPr>
        <w:t>Les amendements 49, 53, 60, 61, 82 et 103 à 108 de la résolution sur la directive et les amendements 28, 41, 62 et 63 de la résolution sur le règlement préconisent un report de la mise en œuvre de divers éléments des mesures.</w:t>
      </w:r>
    </w:p>
    <w:p w14:paraId="22B29542" w14:textId="4BC03B4B" w:rsidR="00B802B5" w:rsidRDefault="00B802B5" w:rsidP="00FE275C">
      <w:pPr>
        <w:spacing w:after="120"/>
        <w:jc w:val="both"/>
        <w:rPr>
          <w:i/>
          <w:iCs/>
          <w:szCs w:val="24"/>
        </w:rPr>
      </w:pPr>
      <w:r>
        <w:rPr>
          <w:i/>
        </w:rPr>
        <w:t>Position de la Commission: la Commission accepte l’esprit des amendements, mais rejette ces derniers en tant que tels.</w:t>
      </w:r>
    </w:p>
    <w:p w14:paraId="0E56C76B" w14:textId="77777777" w:rsidR="00B802B5" w:rsidRDefault="00B802B5" w:rsidP="00FE275C">
      <w:pPr>
        <w:spacing w:after="120"/>
        <w:jc w:val="both"/>
        <w:rPr>
          <w:szCs w:val="24"/>
        </w:rPr>
      </w:pPr>
      <w:r>
        <w:t xml:space="preserve">La Commission reconnaît, avec le Parlement européen, que le calendrier de mise en œuvre des mesures est un élément important, étant donné que tant les entreprises que les États membres doivent disposer de suffisamment de temps pour mettre en œuvre correctement et rigoureusement les modifications nécessaires. C’est pourquoi, lorsque les négociations sur les dates de mise en œuvre auront lieu au Conseil (vers la fin des négociations), la Commission soutiendra un calendrier de mise en œuvre réaliste et nécessaire. Toutefois, la Commission ne peut soutenir une mise en œuvre progressive en fonction de la taille des entreprises, étant donné que les modifications ont une incidence sur des assujettis qui sont étroitement liés entre eux. En tout état de cause, cela serait trop compliqué à mettre en œuvre pour les entreprises et les administrations fiscales. Toutefois, lors de la mise en œuvre de certaines mesures, les États membres seront toujours autorisés à opérer une distinction (par exemple, ils peuvent imposer une obligation de déclaration numérique à certaines entreprises uniquement ou peuvent autoriser l’émission de factures papier à condition qu’ils ne mettent pas en œuvre une obligation de déclaration numérique). </w:t>
      </w:r>
    </w:p>
    <w:p w14:paraId="066E1CC3" w14:textId="77777777" w:rsidR="00B802B5" w:rsidRDefault="00B802B5" w:rsidP="006B0826">
      <w:pPr>
        <w:spacing w:after="120"/>
        <w:jc w:val="both"/>
        <w:rPr>
          <w:b/>
          <w:bCs/>
          <w:szCs w:val="24"/>
          <w:u w:val="single"/>
        </w:rPr>
      </w:pPr>
      <w:r>
        <w:rPr>
          <w:b/>
          <w:u w:val="single"/>
        </w:rPr>
        <w:t>Thème 6 – Informations sur les actes d’exécution à partager avec le Parlement européen</w:t>
      </w:r>
    </w:p>
    <w:p w14:paraId="706CCB36" w14:textId="64B6B4F1" w:rsidR="00B802B5" w:rsidRDefault="00B802B5" w:rsidP="006B0826">
      <w:pPr>
        <w:spacing w:after="120"/>
        <w:jc w:val="both"/>
        <w:rPr>
          <w:b/>
          <w:bCs/>
          <w:szCs w:val="24"/>
        </w:rPr>
      </w:pPr>
      <w:r>
        <w:rPr>
          <w:b/>
        </w:rPr>
        <w:t>L’amendement 73 de la résolution sur la directive et les amendements 16, 40, 45, 48 et 59 à 61 de la résolution sur le règlement demandent que la Commission informe le Parlement européen des projets d’actes d’exécution liés aux mesures.</w:t>
      </w:r>
    </w:p>
    <w:p w14:paraId="1EA41262" w14:textId="7F9D4835" w:rsidR="00B802B5" w:rsidRDefault="00B802B5" w:rsidP="006B0826">
      <w:pPr>
        <w:spacing w:after="120"/>
        <w:jc w:val="both"/>
        <w:rPr>
          <w:i/>
          <w:iCs/>
          <w:szCs w:val="24"/>
        </w:rPr>
      </w:pPr>
      <w:r>
        <w:rPr>
          <w:i/>
        </w:rPr>
        <w:t>Position de la Commission: la Commission accepte l’esprit des amendements, mais rejette ces derniers en tant que tels.</w:t>
      </w:r>
    </w:p>
    <w:p w14:paraId="2734D75F" w14:textId="5999357C" w:rsidR="00B802B5" w:rsidRDefault="006B0826" w:rsidP="006B0826">
      <w:pPr>
        <w:spacing w:after="120"/>
        <w:jc w:val="both"/>
        <w:rPr>
          <w:szCs w:val="24"/>
        </w:rPr>
      </w:pPr>
      <w:r>
        <w:t>La Commission convient que le Parlement européen a le droit d’exercer son droit de contrôle de la Commission au titre du règlement (UE) n° 182/2011 sur la comitologie et note que le Parlement européen est déjà tenu informé lors de l’élaboration des actes d’exécution conformément à ce règlement. Par conséquent, il serait inapproprié de le mentionner explicitement dans le texte juridique.</w:t>
      </w:r>
    </w:p>
    <w:p w14:paraId="2D58FC46" w14:textId="77777777" w:rsidR="00B802B5" w:rsidRDefault="00B802B5" w:rsidP="006B0826">
      <w:pPr>
        <w:spacing w:after="120"/>
        <w:jc w:val="both"/>
        <w:rPr>
          <w:b/>
          <w:bCs/>
          <w:szCs w:val="24"/>
          <w:u w:val="single"/>
        </w:rPr>
      </w:pPr>
      <w:r>
        <w:rPr>
          <w:b/>
          <w:u w:val="single"/>
        </w:rPr>
        <w:t>Thème 7 – Sur le lien entre la présente proposition et le régime définitif</w:t>
      </w:r>
    </w:p>
    <w:p w14:paraId="38E750F0" w14:textId="643C85B4" w:rsidR="00B802B5" w:rsidRDefault="00B802B5" w:rsidP="006B0826">
      <w:pPr>
        <w:spacing w:after="120"/>
        <w:jc w:val="both"/>
        <w:rPr>
          <w:b/>
          <w:bCs/>
          <w:szCs w:val="24"/>
        </w:rPr>
      </w:pPr>
      <w:r>
        <w:rPr>
          <w:b/>
        </w:rPr>
        <w:t xml:space="preserve">Les amendements 6, 7, 9 et 11 de la résolution sur la directive établissent un lien dans les considérants entre la présente proposition et le régime de TVA définitif, en faisant </w:t>
      </w:r>
      <w:r>
        <w:rPr>
          <w:b/>
        </w:rPr>
        <w:lastRenderedPageBreak/>
        <w:t>référence à l’évolution de l’écart de TVA et à la structure de la fraude intracommunautaire à l’opérateur défaillant.</w:t>
      </w:r>
    </w:p>
    <w:p w14:paraId="6012E8FA" w14:textId="52A8759F" w:rsidR="00B802B5" w:rsidRDefault="00B802B5" w:rsidP="006B0826">
      <w:pPr>
        <w:spacing w:after="120"/>
        <w:jc w:val="both"/>
        <w:rPr>
          <w:i/>
          <w:iCs/>
          <w:szCs w:val="24"/>
        </w:rPr>
      </w:pPr>
      <w:r>
        <w:rPr>
          <w:i/>
        </w:rPr>
        <w:t>Position de la Commission: la Commission rejette les amendements.</w:t>
      </w:r>
    </w:p>
    <w:p w14:paraId="75444553" w14:textId="77777777" w:rsidR="00B802B5" w:rsidRDefault="00B802B5" w:rsidP="006B0826">
      <w:pPr>
        <w:spacing w:after="120"/>
        <w:jc w:val="both"/>
        <w:rPr>
          <w:szCs w:val="24"/>
        </w:rPr>
      </w:pPr>
      <w:r>
        <w:t>L’initiative ViDA ne remplace pas le régime de TVA définitif et il n’entre pas dans le champ d’application de la présente proposition de faire référence au régime définitif et à la manière dont il pourrait avoir une incidence sur le système actuel de TVA.</w:t>
      </w:r>
    </w:p>
    <w:p w14:paraId="2CBA464B" w14:textId="77777777" w:rsidR="00B802B5" w:rsidRDefault="00B802B5" w:rsidP="006B0826">
      <w:pPr>
        <w:spacing w:after="120"/>
        <w:jc w:val="both"/>
        <w:rPr>
          <w:b/>
          <w:bCs/>
          <w:szCs w:val="24"/>
          <w:u w:val="single"/>
        </w:rPr>
      </w:pPr>
      <w:r>
        <w:rPr>
          <w:b/>
          <w:u w:val="single"/>
        </w:rPr>
        <w:t>Thème 8 – Amendements relatifs au stockage des données</w:t>
      </w:r>
    </w:p>
    <w:p w14:paraId="648E0A23" w14:textId="7D3C1B1D" w:rsidR="00B802B5" w:rsidRDefault="00B802B5" w:rsidP="006B0826">
      <w:pPr>
        <w:spacing w:after="120"/>
        <w:jc w:val="both"/>
        <w:rPr>
          <w:b/>
          <w:bCs/>
          <w:szCs w:val="24"/>
        </w:rPr>
      </w:pPr>
      <w:r>
        <w:rPr>
          <w:b/>
        </w:rPr>
        <w:t>Les amendements 24 et 78 de la résolution sur la directive et l’amendement 30 de la résolution sur le règlement demandent que les informations recueillies ne soient pas stockées en dehors de l’UE, que ce soit par les États membres, les entreprises ou des tiers.</w:t>
      </w:r>
    </w:p>
    <w:p w14:paraId="687D0797" w14:textId="3BD3732C" w:rsidR="00B802B5" w:rsidRDefault="00B802B5" w:rsidP="006B0826">
      <w:pPr>
        <w:spacing w:after="120"/>
        <w:jc w:val="both"/>
        <w:rPr>
          <w:i/>
          <w:iCs/>
        </w:rPr>
      </w:pPr>
      <w:r>
        <w:rPr>
          <w:i/>
        </w:rPr>
        <w:t>Position de la Commission: la Commission rejette les amendements.</w:t>
      </w:r>
    </w:p>
    <w:p w14:paraId="4DB2C15E" w14:textId="15A0026C" w:rsidR="00B802B5" w:rsidRDefault="00B802B5" w:rsidP="006B0826">
      <w:pPr>
        <w:spacing w:after="120"/>
        <w:jc w:val="both"/>
      </w:pPr>
      <w:r>
        <w:t>Il convient de rappeler que les États membres de l’UE, les entreprises et les tiers sont liés par les règles existantes en matière de protection des données, y compris lors du transfert (et du stockage) de données en dehors de l’UE. Les règles de l’UE en matière de protection des données n’exigent pas que les données à caractère personnel soient stockées dans l’UE, mais permettent plutôt de les transférer en dehors de l’UE tant que la continuité de la protection est assurée (par exemple, en mettant en place des garanties en matière de protection des données au moyen d’un contrat ou d’un arrangement). En outre, du point de vue commercial également, les entreprises devraient être libres de choisir de stocker elles-mêmes les données ou de les faire stocker par des tiers et devraient être libres de choisir où les données seront stockées conformément à leurs processus et pratiques commerciaux, dans le plein respect des règles de l’Union en matière de protection des données.</w:t>
      </w:r>
    </w:p>
    <w:p w14:paraId="08A76EE0" w14:textId="77777777" w:rsidR="00B802B5" w:rsidRDefault="00B802B5" w:rsidP="006B0826">
      <w:pPr>
        <w:spacing w:after="120"/>
        <w:jc w:val="both"/>
        <w:rPr>
          <w:b/>
          <w:bCs/>
          <w:szCs w:val="24"/>
        </w:rPr>
      </w:pPr>
      <w:r>
        <w:rPr>
          <w:b/>
        </w:rPr>
        <w:t>Partie II – Amendements portant spécifiquement sur les obligations de déclaration numérique (DRR)</w:t>
      </w:r>
    </w:p>
    <w:p w14:paraId="50A3272E" w14:textId="3AAC3AFD" w:rsidR="00B802B5" w:rsidRDefault="00B802B5" w:rsidP="006B0826">
      <w:pPr>
        <w:spacing w:after="120"/>
        <w:jc w:val="both"/>
        <w:rPr>
          <w:b/>
          <w:bCs/>
          <w:szCs w:val="24"/>
          <w:u w:val="single"/>
        </w:rPr>
      </w:pPr>
      <w:r>
        <w:rPr>
          <w:b/>
          <w:u w:val="single"/>
        </w:rPr>
        <w:t>Thème 9 – Amendements relatifs au contenu et au calendrier des factures</w:t>
      </w:r>
    </w:p>
    <w:p w14:paraId="3D74CBBD" w14:textId="3D2B2160" w:rsidR="00B802B5" w:rsidRDefault="00B802B5" w:rsidP="006B0826">
      <w:pPr>
        <w:spacing w:after="120"/>
        <w:jc w:val="both"/>
        <w:rPr>
          <w:b/>
          <w:bCs/>
          <w:szCs w:val="24"/>
        </w:rPr>
      </w:pPr>
      <w:r>
        <w:rPr>
          <w:b/>
        </w:rPr>
        <w:t>Les amendements 85 et 89 à 94 de la résolution sur la directive concernent le calendrier et le contenu des factures. Ils comprennent une modification du calendrier d’émission des factures, des modifications du traitement des factures rectificatives, la suppression de la nécessité d’indiquer l’IBAN (le cas échéant) et la date de paiement sur les factures, ainsi qu’une modification de la date à partir de laquelle les entreprises disposent de 3 jours pour envoyer les données (de la date d’émission de la facture à la date à laquelle elle est enregistrée dans les comptes).</w:t>
      </w:r>
    </w:p>
    <w:p w14:paraId="048E666B" w14:textId="39583DC5" w:rsidR="00B802B5" w:rsidRDefault="00B802B5" w:rsidP="006B0826">
      <w:pPr>
        <w:spacing w:after="120"/>
        <w:jc w:val="both"/>
        <w:rPr>
          <w:i/>
          <w:iCs/>
          <w:szCs w:val="24"/>
        </w:rPr>
      </w:pPr>
      <w:r>
        <w:rPr>
          <w:i/>
        </w:rPr>
        <w:t>Position de la Commission: la Commission accepte l’esprit des amendements, mais rejette ces derniers en tant que tels.</w:t>
      </w:r>
    </w:p>
    <w:p w14:paraId="079449C0" w14:textId="77777777" w:rsidR="00B802B5" w:rsidRDefault="00B802B5" w:rsidP="006B0826">
      <w:pPr>
        <w:spacing w:after="120"/>
        <w:jc w:val="both"/>
        <w:rPr>
          <w:szCs w:val="24"/>
        </w:rPr>
      </w:pPr>
      <w:r>
        <w:t>Le contenu des factures a été soigneusement examiné afin que les États membres disposent de suffisamment d’informations nécessaires pour lutter contre la fraude, sans pour autant faire peser une charge trop lourde sur les entreprises. Les calendriers d’émission d’une facture et de transmission des données visent à permettre une déclaration dans un délai aussi proche que possible du temps réel. Néanmoins, cet élément fait toujours l’objet de discussions au sein du Conseil, où les États membres envisagent d’accorder plus de temps pour l’émission des factures.</w:t>
      </w:r>
    </w:p>
    <w:p w14:paraId="042157BF" w14:textId="77777777" w:rsidR="00B802B5" w:rsidRDefault="00B802B5" w:rsidP="006B0826">
      <w:pPr>
        <w:spacing w:after="120"/>
        <w:jc w:val="both"/>
        <w:rPr>
          <w:b/>
          <w:bCs/>
          <w:szCs w:val="24"/>
          <w:u w:val="single"/>
        </w:rPr>
      </w:pPr>
      <w:r>
        <w:rPr>
          <w:b/>
          <w:u w:val="single"/>
        </w:rPr>
        <w:t>Thème 10 – Utilisation de factures périodiques</w:t>
      </w:r>
    </w:p>
    <w:p w14:paraId="625A2B36" w14:textId="7D8B4B01" w:rsidR="00B802B5" w:rsidRDefault="00B802B5" w:rsidP="006B0826">
      <w:pPr>
        <w:spacing w:after="120"/>
        <w:jc w:val="both"/>
        <w:rPr>
          <w:b/>
          <w:bCs/>
          <w:szCs w:val="24"/>
        </w:rPr>
      </w:pPr>
      <w:r>
        <w:rPr>
          <w:b/>
        </w:rPr>
        <w:t>Les amendements 19 et 88 de la résolution sur la directive visent à réintroduire l’utilisation de factures périodiques.</w:t>
      </w:r>
    </w:p>
    <w:p w14:paraId="6EA8978D" w14:textId="72C6A4D5" w:rsidR="00B802B5" w:rsidRDefault="00B802B5" w:rsidP="006B0826">
      <w:pPr>
        <w:spacing w:after="120"/>
        <w:jc w:val="both"/>
        <w:rPr>
          <w:i/>
          <w:iCs/>
          <w:szCs w:val="24"/>
        </w:rPr>
      </w:pPr>
      <w:r>
        <w:rPr>
          <w:i/>
        </w:rPr>
        <w:lastRenderedPageBreak/>
        <w:t>Position de la Commission: la Commission accepte les amendements.</w:t>
      </w:r>
    </w:p>
    <w:p w14:paraId="077F932A" w14:textId="77777777" w:rsidR="00B802B5" w:rsidRDefault="00B802B5" w:rsidP="006B0826">
      <w:pPr>
        <w:spacing w:after="120"/>
        <w:jc w:val="both"/>
        <w:rPr>
          <w:szCs w:val="24"/>
        </w:rPr>
      </w:pPr>
      <w:r>
        <w:t>La Commission a proposé de supprimer l’utilisation de factures périodiques au motif que cela ne serait pas nécessaire compte tenu de la déclaration en temps réel. Toutefois, le débat au sein du Conseil a montré qu’il serait bénéfique pour les entreprises de continuer à leur permettre d’opter pour des factures périodiques. Bien qu’une décision doive encore être prise à ce sujet par les États membres, la Commission devrait soutenir la réintroduction de cette mesure.</w:t>
      </w:r>
    </w:p>
    <w:p w14:paraId="0021A9BE" w14:textId="77777777" w:rsidR="00B802B5" w:rsidRDefault="00B802B5" w:rsidP="006B0826">
      <w:pPr>
        <w:spacing w:after="120"/>
        <w:jc w:val="both"/>
        <w:rPr>
          <w:b/>
          <w:bCs/>
          <w:szCs w:val="24"/>
          <w:u w:val="single"/>
        </w:rPr>
      </w:pPr>
      <w:r>
        <w:rPr>
          <w:b/>
          <w:u w:val="single"/>
        </w:rPr>
        <w:t>Thème 11 – Modifications du champ d’application et du fonctionnement de la mesure concernant les obligations de déclaration numérique</w:t>
      </w:r>
    </w:p>
    <w:p w14:paraId="221A3E4E" w14:textId="42463E43" w:rsidR="00B802B5" w:rsidRDefault="00B802B5" w:rsidP="006B0826">
      <w:pPr>
        <w:spacing w:after="120"/>
        <w:jc w:val="both"/>
        <w:rPr>
          <w:b/>
          <w:bCs/>
          <w:szCs w:val="24"/>
        </w:rPr>
      </w:pPr>
      <w:r>
        <w:rPr>
          <w:b/>
        </w:rPr>
        <w:t>Les amendements 25, 54, 56 et 58 de la résolution sur la directive visent à restreindre le champ d’application de la mesure, et plus précisément à supprimer l’interdiction d’autorisation préalable; à limiter la définition de la facturation électronique aux ventes transfrontières intra-UE; à limiter la capacité des États membres à introduire la facturation électronique à partir de la date d’entrée en vigueur de la directive, en permettant aux États membres de demander des données qui ne sont pas tirées des factures électroniques pour certaines opérations et en n’appliquant pas les mesures concernant les obligations de déclaration numérique aux fournitures liées à la défense.</w:t>
      </w:r>
    </w:p>
    <w:p w14:paraId="7A290196" w14:textId="19651B3D" w:rsidR="00B802B5" w:rsidRDefault="00B802B5" w:rsidP="006B0826">
      <w:pPr>
        <w:spacing w:after="120"/>
        <w:jc w:val="both"/>
        <w:rPr>
          <w:i/>
          <w:iCs/>
          <w:szCs w:val="24"/>
        </w:rPr>
      </w:pPr>
      <w:r>
        <w:rPr>
          <w:i/>
        </w:rPr>
        <w:t>Position de la Commission: la Commission rejette les amendements.</w:t>
      </w:r>
    </w:p>
    <w:p w14:paraId="26EDDDD4" w14:textId="77777777" w:rsidR="00B802B5" w:rsidRDefault="00B802B5" w:rsidP="006B0826">
      <w:pPr>
        <w:spacing w:after="120"/>
        <w:jc w:val="both"/>
        <w:rPr>
          <w:szCs w:val="24"/>
        </w:rPr>
      </w:pPr>
      <w:r>
        <w:t>Les amendements modifient le champ d’application et le fonctionnement de la mesure concernant les obligations de déclaration numérique, ce qui accroît la complexité pour les entreprises et les États membres, sans pour autant apporter plus d’efficacité. Par exemple, le fait d’avoir une définition de la facturation électronique qui ne s’applique qu’aux ventes intra-UE et non aux opérations nationales ferait en sorte qu’une entreprise pourrait être tenue de disposer d’au moins deux systèmes de facturation distincts, à savoir, l’un pour le commerce intérieur et l’autre pour les échanges transfrontières. En outre, il n’est pas proposé de prévoir des exclusions sectorielles, car elles compliqueraient encore davantage le fonctionnement de la mesure.</w:t>
      </w:r>
    </w:p>
    <w:p w14:paraId="10A73EBD" w14:textId="77777777" w:rsidR="00B802B5" w:rsidRDefault="00B802B5" w:rsidP="006B0826">
      <w:pPr>
        <w:spacing w:after="120"/>
        <w:jc w:val="both"/>
        <w:rPr>
          <w:b/>
          <w:bCs/>
          <w:szCs w:val="24"/>
        </w:rPr>
      </w:pPr>
      <w:r>
        <w:rPr>
          <w:b/>
        </w:rPr>
        <w:t>Partie III – Amendements portant spécifiquement sur les plateformes</w:t>
      </w:r>
    </w:p>
    <w:p w14:paraId="6026530A" w14:textId="0AF193E7" w:rsidR="00B802B5" w:rsidRDefault="00B802B5" w:rsidP="006B0826">
      <w:pPr>
        <w:spacing w:after="120"/>
        <w:jc w:val="both"/>
        <w:rPr>
          <w:b/>
          <w:bCs/>
          <w:szCs w:val="24"/>
          <w:u w:val="single"/>
        </w:rPr>
      </w:pPr>
      <w:r>
        <w:rPr>
          <w:b/>
          <w:u w:val="single"/>
        </w:rPr>
        <w:t>Thème 12 – Clarification du champ d’application de la mesure</w:t>
      </w:r>
    </w:p>
    <w:p w14:paraId="468D77C4" w14:textId="4B602E90" w:rsidR="00B802B5" w:rsidRDefault="00B802B5" w:rsidP="006B0826">
      <w:pPr>
        <w:spacing w:after="120"/>
        <w:jc w:val="both"/>
        <w:rPr>
          <w:b/>
          <w:bCs/>
          <w:szCs w:val="24"/>
        </w:rPr>
      </w:pPr>
      <w:r>
        <w:rPr>
          <w:b/>
        </w:rPr>
        <w:t>Les amendements 66 et 77 de la résolution sur la directive précisent que le régime du prestataire présumé s’applique au transport de voyageurs «à l’intérieur de l’Union».</w:t>
      </w:r>
    </w:p>
    <w:p w14:paraId="5F3B3F79" w14:textId="08B4737C" w:rsidR="00B802B5" w:rsidRDefault="00B802B5" w:rsidP="006B0826">
      <w:pPr>
        <w:spacing w:after="120"/>
        <w:jc w:val="both"/>
        <w:rPr>
          <w:i/>
          <w:iCs/>
          <w:szCs w:val="24"/>
        </w:rPr>
      </w:pPr>
      <w:r>
        <w:rPr>
          <w:i/>
        </w:rPr>
        <w:t>Position de la Commission: la Commission accepte les amendements.</w:t>
      </w:r>
    </w:p>
    <w:p w14:paraId="15FD6405" w14:textId="154F4F23" w:rsidR="00B802B5" w:rsidRDefault="00B802B5" w:rsidP="006B0826">
      <w:pPr>
        <w:spacing w:after="120"/>
        <w:jc w:val="both"/>
        <w:rPr>
          <w:szCs w:val="24"/>
        </w:rPr>
      </w:pPr>
      <w:r>
        <w:t>Il s’agit d’une clarification nécessaire qui est également soutenue par le Conseil.</w:t>
      </w:r>
    </w:p>
    <w:p w14:paraId="646C3088" w14:textId="77777777" w:rsidR="00B802B5" w:rsidRDefault="00B802B5" w:rsidP="006B0826">
      <w:pPr>
        <w:spacing w:after="120"/>
        <w:jc w:val="both"/>
        <w:rPr>
          <w:b/>
          <w:bCs/>
          <w:szCs w:val="24"/>
          <w:u w:val="single"/>
        </w:rPr>
      </w:pPr>
      <w:r>
        <w:rPr>
          <w:b/>
          <w:u w:val="single"/>
        </w:rPr>
        <w:t>Thème 13 – Restrictions du champ d’application de la mesure relative au prestataire présumé et de son application</w:t>
      </w:r>
    </w:p>
    <w:p w14:paraId="70D2F8F3" w14:textId="123400A9" w:rsidR="00B802B5" w:rsidRDefault="00B802B5" w:rsidP="006B0826">
      <w:pPr>
        <w:spacing w:after="120"/>
        <w:jc w:val="both"/>
        <w:rPr>
          <w:b/>
          <w:bCs/>
          <w:szCs w:val="24"/>
        </w:rPr>
      </w:pPr>
      <w:r>
        <w:rPr>
          <w:b/>
        </w:rPr>
        <w:t>Les amendements 36, 37, 68, 71 et 72 de la résolution sur la directive visent à restreindre le champ d’application de la mesure en ne l’appliquant pas aux PME et à toute prestation qui est normalement exonérée. En outre, la résolution demande la suppression de la disposition harmonisant le traitement du service de facilitation et l’introduction de la notion de services auxiliaires lors de la définition de la location de logements de courte durée.</w:t>
      </w:r>
    </w:p>
    <w:p w14:paraId="2C472B93" w14:textId="466B9F33" w:rsidR="00B802B5" w:rsidRDefault="00B802B5" w:rsidP="006B0826">
      <w:pPr>
        <w:spacing w:after="120"/>
        <w:jc w:val="both"/>
        <w:rPr>
          <w:i/>
          <w:iCs/>
          <w:szCs w:val="24"/>
        </w:rPr>
      </w:pPr>
      <w:r>
        <w:rPr>
          <w:i/>
        </w:rPr>
        <w:t>Position de la Commission: la Commission rejette les amendements.</w:t>
      </w:r>
    </w:p>
    <w:p w14:paraId="07B93CD8" w14:textId="77777777" w:rsidR="00B802B5" w:rsidRDefault="00B802B5" w:rsidP="006B0826">
      <w:pPr>
        <w:spacing w:after="120"/>
        <w:jc w:val="both"/>
      </w:pPr>
      <w:r>
        <w:t xml:space="preserve">Le Parlement européen a recommandé d’exclure du champ d’application de la mesure relative au prestataire présumé toute prestation de services de location de logements de courte durée ou de transport de passagers qui serait exonérée si elle n’avait pas été fournie par </w:t>
      </w:r>
      <w:r>
        <w:lastRenderedPageBreak/>
        <w:t>l’intermédiaire d’une plateforme. Une telle limitation du champ d’application de la mesure relative au prestataire présumé irait à l’encontre de l’objectif principal de la proposition, à savoir l’harmonisation du traitement de l’économie des plateformes, largement non taxée, et de l’économie traditionnelle, largement taxée, dans ces secteurs. Toutefois, en taxant ces prestations, la proposition ne fait pas peser la charge fiscale sur le prestataire sous-jacent, mais sur les plateformes, qui sont mieux équipées pour se conformer aux obligations correspondantes en matière de TVA. Il convient de noter que les plateformes elles-mêmes qui sont exonérées au titre du régime en faveur des PME sont déjà exclues de la mesure relative au prestataire présumé, ce qui est déjà précisé dans la proposition. Les amendements concernant le service de facilitation et la définition de la location de logements de courte durée empêcheraient l’harmonisation que la proposition vise à réaliser.</w:t>
      </w:r>
    </w:p>
    <w:p w14:paraId="4180BE78" w14:textId="437A7569" w:rsidR="00B802B5" w:rsidRDefault="00B802B5" w:rsidP="006B0826">
      <w:pPr>
        <w:spacing w:after="120"/>
        <w:jc w:val="both"/>
        <w:rPr>
          <w:b/>
          <w:bCs/>
          <w:szCs w:val="24"/>
        </w:rPr>
      </w:pPr>
      <w:r>
        <w:rPr>
          <w:b/>
        </w:rPr>
        <w:t>Partie IV – Amendements portant spécifiquement sur l’enregistrement à la TVA unique</w:t>
      </w:r>
    </w:p>
    <w:p w14:paraId="47272D87" w14:textId="77777777" w:rsidR="00B802B5" w:rsidRDefault="00B802B5" w:rsidP="006B0826">
      <w:pPr>
        <w:spacing w:after="120"/>
        <w:jc w:val="both"/>
        <w:rPr>
          <w:b/>
          <w:bCs/>
          <w:szCs w:val="24"/>
          <w:u w:val="single"/>
        </w:rPr>
      </w:pPr>
      <w:r>
        <w:rPr>
          <w:b/>
          <w:u w:val="single"/>
        </w:rPr>
        <w:t>Thème 14 – Modifications du champ d’application de la mesure</w:t>
      </w:r>
    </w:p>
    <w:p w14:paraId="3D0C556E" w14:textId="7F79D694" w:rsidR="00B802B5" w:rsidRDefault="00B802B5" w:rsidP="006B0826">
      <w:pPr>
        <w:spacing w:after="120"/>
        <w:jc w:val="both"/>
        <w:rPr>
          <w:b/>
          <w:bCs/>
          <w:szCs w:val="24"/>
        </w:rPr>
      </w:pPr>
      <w:r>
        <w:rPr>
          <w:b/>
        </w:rPr>
        <w:t>Les amendements 38 à 40 et 79 à 81 de la résolution sur la directive préconisent des modifications au champ d’application de la mesure. En particulier, en ce qui concerne la définition d’un transfert de biens propres, les conditions d’exclusion du régime des transferts de biens propres et la disposition selon laquelle la déclaration peut être établie en monnaie nationale.</w:t>
      </w:r>
    </w:p>
    <w:p w14:paraId="44C9FDAB" w14:textId="0029E4C7" w:rsidR="00B802B5" w:rsidRDefault="00B802B5" w:rsidP="006B0826">
      <w:pPr>
        <w:spacing w:after="120"/>
        <w:jc w:val="both"/>
        <w:rPr>
          <w:i/>
          <w:iCs/>
          <w:szCs w:val="24"/>
        </w:rPr>
      </w:pPr>
      <w:r>
        <w:rPr>
          <w:i/>
        </w:rPr>
        <w:t>Position de la Commission: la Commission accepte l’esprit des amendements, mais rejette ces derniers en tant que tels.</w:t>
      </w:r>
    </w:p>
    <w:p w14:paraId="1528D608" w14:textId="7828DF3D" w:rsidR="00B802B5" w:rsidRDefault="00B802B5" w:rsidP="006B0826">
      <w:pPr>
        <w:spacing w:after="120"/>
        <w:jc w:val="both"/>
        <w:rPr>
          <w:szCs w:val="24"/>
        </w:rPr>
      </w:pPr>
      <w:r>
        <w:t>En ce qui concerne la définition des transferts de biens propres, le dernier texte de compromis du Conseil étend le champ d’application du nouveau régime des transferts de biens propres aux biens d’investissement, mais exclut toujours les transferts de biens sans droit à déduction intégral. La Commission peut souscrire à ce texte car il couvre un éventail plus large de biens sans ouvrir de questions liées à la déductibilité partielle. La suggestion de supprimer la condition d’exclusion de ce régime lorsque l’activité de l’assujetti a cessé ne peut être acceptée, car elle reflète les conditions appliquées dans les autres régimes du guichet unique et, en tout état de cause, n’empêche pas l’assujetti de s’enregistrer à nouveau dans ces régimes lorsque ses activités reprennent. Enfin, le texte permet déjà d’établir la déclaration dans d’autres monnaies que l’euro.</w:t>
      </w:r>
    </w:p>
    <w:p w14:paraId="6D7C6836" w14:textId="77777777" w:rsidR="00B802B5" w:rsidRDefault="00B802B5" w:rsidP="006B0826">
      <w:pPr>
        <w:spacing w:after="120"/>
        <w:jc w:val="both"/>
        <w:rPr>
          <w:b/>
          <w:bCs/>
          <w:szCs w:val="24"/>
          <w:u w:val="single"/>
        </w:rPr>
      </w:pPr>
      <w:r>
        <w:rPr>
          <w:b/>
          <w:u w:val="single"/>
        </w:rPr>
        <w:t>Thème 15 – Calendrier du partage d’informations entre les États membres</w:t>
      </w:r>
    </w:p>
    <w:p w14:paraId="75C1A624" w14:textId="12629ECE" w:rsidR="00B802B5" w:rsidRDefault="00B802B5" w:rsidP="006B0826">
      <w:pPr>
        <w:spacing w:after="120"/>
        <w:jc w:val="both"/>
        <w:rPr>
          <w:b/>
          <w:bCs/>
          <w:szCs w:val="24"/>
        </w:rPr>
      </w:pPr>
      <w:r>
        <w:rPr>
          <w:b/>
        </w:rPr>
        <w:t>Les amendements 34, 35, 36 et 39 de la résolution sur le règlement modifient les délais pour la transmission de diverses informations entre les États membres dans le cadre du système de guichet unique.</w:t>
      </w:r>
    </w:p>
    <w:p w14:paraId="70C85536" w14:textId="4A9A9246" w:rsidR="00B802B5" w:rsidRDefault="00B802B5" w:rsidP="006B0826">
      <w:pPr>
        <w:spacing w:after="120"/>
        <w:jc w:val="both"/>
        <w:rPr>
          <w:i/>
          <w:iCs/>
          <w:szCs w:val="24"/>
        </w:rPr>
      </w:pPr>
      <w:r>
        <w:rPr>
          <w:i/>
        </w:rPr>
        <w:t>Position de la Commission: la Commission rejette les amendements.</w:t>
      </w:r>
    </w:p>
    <w:p w14:paraId="6F68A358" w14:textId="77777777" w:rsidR="00B802B5" w:rsidRDefault="00B802B5" w:rsidP="006B0826">
      <w:pPr>
        <w:spacing w:after="120"/>
        <w:jc w:val="both"/>
        <w:rPr>
          <w:szCs w:val="24"/>
        </w:rPr>
      </w:pPr>
      <w:r>
        <w:t xml:space="preserve">Ces délais sont déjà applicables à tous les régimes de guichet unique et ne devraient pas être revus car ils garantissent un échange d’informations approprié et rapide entre les États membres. Toute modification devrait, le cas échéant, être décidée par les États membres en fonction de leurs capacités et de leurs ressources. </w:t>
      </w:r>
    </w:p>
    <w:p w14:paraId="2CF97786" w14:textId="77777777" w:rsidR="00B802B5" w:rsidRDefault="00B802B5" w:rsidP="006B0826">
      <w:pPr>
        <w:spacing w:after="120"/>
        <w:jc w:val="both"/>
        <w:rPr>
          <w:b/>
          <w:bCs/>
          <w:szCs w:val="24"/>
        </w:rPr>
      </w:pPr>
      <w:r>
        <w:rPr>
          <w:b/>
        </w:rPr>
        <w:t>Partie V – Amendements portant spécifiquement sur la coopération administrative</w:t>
      </w:r>
    </w:p>
    <w:p w14:paraId="1CE2DEFC" w14:textId="1BFDD20B" w:rsidR="00B802B5" w:rsidRDefault="00B802B5" w:rsidP="006B0826">
      <w:pPr>
        <w:spacing w:after="120"/>
        <w:jc w:val="both"/>
        <w:rPr>
          <w:b/>
          <w:bCs/>
          <w:szCs w:val="24"/>
          <w:u w:val="single"/>
        </w:rPr>
      </w:pPr>
      <w:r>
        <w:rPr>
          <w:b/>
          <w:u w:val="single"/>
        </w:rPr>
        <w:t>Thème 16 – Ce système VIES central garantit la protection des données</w:t>
      </w:r>
    </w:p>
    <w:p w14:paraId="4B6BDA50" w14:textId="3B80F003" w:rsidR="00B802B5" w:rsidRDefault="00B802B5" w:rsidP="006B0826">
      <w:pPr>
        <w:spacing w:after="120"/>
        <w:jc w:val="both"/>
        <w:rPr>
          <w:b/>
          <w:bCs/>
          <w:szCs w:val="24"/>
        </w:rPr>
      </w:pPr>
      <w:r>
        <w:rPr>
          <w:b/>
        </w:rPr>
        <w:t>Les amendements 43, 50 à 53 et 57 de la résolution sur le règlement préconisent le recours à la technologie pour garantir la protection des données et l’existence d’infrastructures sûres, résilientes et fiables.</w:t>
      </w:r>
    </w:p>
    <w:p w14:paraId="2076D925" w14:textId="09D952D2" w:rsidR="00B802B5" w:rsidRDefault="00B802B5" w:rsidP="006B0826">
      <w:pPr>
        <w:spacing w:after="120"/>
        <w:jc w:val="both"/>
        <w:rPr>
          <w:i/>
          <w:iCs/>
          <w:szCs w:val="24"/>
        </w:rPr>
      </w:pPr>
      <w:r>
        <w:rPr>
          <w:i/>
        </w:rPr>
        <w:lastRenderedPageBreak/>
        <w:t>Position de la Commission: la Commission accepte l’esprit des amendements, mais rejette ces derniers en tant que tels.</w:t>
      </w:r>
    </w:p>
    <w:p w14:paraId="0A751E90" w14:textId="6F78BF51" w:rsidR="00B802B5" w:rsidRDefault="00B802B5" w:rsidP="006B0826">
      <w:pPr>
        <w:spacing w:after="120"/>
        <w:jc w:val="both"/>
        <w:rPr>
          <w:szCs w:val="24"/>
        </w:rPr>
      </w:pPr>
      <w:r>
        <w:t>Les responsabilités concernant le système VIES existent déjà (à l’article 24 </w:t>
      </w:r>
      <w:r>
        <w:rPr>
          <w:i/>
        </w:rPr>
        <w:t>quaterdecies</w:t>
      </w:r>
      <w:r>
        <w:t>) et les exigences de sécurité sont déjà fixées à l’article 55 du règlement. Les mesures de sécurité seront précisées au cours de la phase de mise en œuvre. Par conséquent, il n’est pas nécessaire de répéter la nécessité d’un système sûr et résilient tout au long de l’acte principal.</w:t>
      </w:r>
    </w:p>
    <w:p w14:paraId="6418B33D" w14:textId="4661D99C" w:rsidR="00F934E8" w:rsidRDefault="00F934E8" w:rsidP="00F934E8">
      <w:pPr>
        <w:spacing w:after="200" w:line="276" w:lineRule="auto"/>
        <w:rPr>
          <w:color w:val="000000"/>
          <w:szCs w:val="24"/>
        </w:rPr>
      </w:pPr>
      <w:r>
        <w:br w:type="page"/>
      </w:r>
    </w:p>
    <w:p w14:paraId="63A2D08F" w14:textId="77777777" w:rsidR="00C871B3" w:rsidRPr="0007567F" w:rsidRDefault="00C871B3" w:rsidP="005A7297">
      <w:pPr>
        <w:tabs>
          <w:tab w:val="left" w:pos="567"/>
        </w:tabs>
        <w:spacing w:after="200" w:line="276" w:lineRule="auto"/>
        <w:rPr>
          <w:color w:val="000000"/>
          <w:szCs w:val="24"/>
          <w:lang w:val="fr-BE"/>
        </w:rPr>
      </w:pPr>
    </w:p>
    <w:p w14:paraId="7AAD7343" w14:textId="77777777" w:rsidR="00B71FF0" w:rsidRPr="00EE64E6" w:rsidRDefault="00B71FF0" w:rsidP="00B71FF0">
      <w:pPr>
        <w:spacing w:before="5040" w:line="240" w:lineRule="auto"/>
        <w:jc w:val="center"/>
        <w:rPr>
          <w:b/>
          <w:sz w:val="48"/>
        </w:rPr>
      </w:pPr>
      <w:bookmarkStart w:id="9" w:name="PARTTWO"/>
      <w:r>
        <w:rPr>
          <w:b/>
          <w:sz w:val="48"/>
        </w:rPr>
        <w:t>Deuxième partie</w:t>
      </w:r>
      <w:r>
        <w:br/>
      </w:r>
      <w:r>
        <w:rPr>
          <w:b/>
          <w:sz w:val="48"/>
        </w:rPr>
        <w:t>Résolutions non législatives</w:t>
      </w:r>
    </w:p>
    <w:bookmarkEnd w:id="9"/>
    <w:p w14:paraId="51B4AB06" w14:textId="77777777" w:rsidR="007A1930" w:rsidRPr="0007567F" w:rsidRDefault="007A1930" w:rsidP="00B71FF0">
      <w:pPr>
        <w:spacing w:after="600" w:line="240" w:lineRule="auto"/>
        <w:jc w:val="center"/>
        <w:rPr>
          <w:lang w:val="fr-BE"/>
        </w:rPr>
      </w:pPr>
    </w:p>
    <w:p w14:paraId="6B2BC70D" w14:textId="63E39CDE" w:rsidR="00B71FF0" w:rsidRDefault="00B71FF0" w:rsidP="00B71FF0">
      <w:pPr>
        <w:spacing w:after="600" w:line="240" w:lineRule="auto"/>
        <w:jc w:val="center"/>
        <w:rPr>
          <w:b/>
          <w:sz w:val="22"/>
        </w:rPr>
      </w:pPr>
      <w:r>
        <w:br w:type="page"/>
      </w:r>
      <w:r>
        <w:rPr>
          <w:b/>
          <w:sz w:val="22"/>
        </w:rPr>
        <w:lastRenderedPageBreak/>
        <w:t>LA COMMISSION ENTEND NE PAS DONNER UNE SUITE SOUS FORME DE FICHE AUX RÉSOLUTIONS NON LÉGISLATIVES SUIVANTES, ADOPTÉES PAR LE PARLEMENT EUROPÉEN AU COURS DE LA PÉRIODE DE SESSION DE NOVEMBRE II 2023</w:t>
      </w:r>
    </w:p>
    <w:p w14:paraId="7E3C1E57" w14:textId="77777777" w:rsidR="00A55673" w:rsidRPr="00F94E53" w:rsidRDefault="00A55673" w:rsidP="00A55673">
      <w:pPr>
        <w:pStyle w:val="ListParagraph"/>
        <w:numPr>
          <w:ilvl w:val="0"/>
          <w:numId w:val="26"/>
        </w:numPr>
        <w:spacing w:line="240" w:lineRule="auto"/>
        <w:jc w:val="both"/>
      </w:pPr>
      <w:r>
        <w:t xml:space="preserve">La mise en œuvre du règlement (CE) 1100/2007 du Conseil instituant des mesures de reconstitution du stock d’anguilles européennes [2023/2030 (INI)] </w:t>
      </w:r>
    </w:p>
    <w:p w14:paraId="6364E0D2" w14:textId="77777777" w:rsidR="00A55673" w:rsidRPr="00105769" w:rsidRDefault="00A55673" w:rsidP="00A55673">
      <w:pPr>
        <w:ind w:left="720"/>
      </w:pPr>
      <w:r>
        <w:t xml:space="preserve">PE: A9-0353/2023 </w:t>
      </w:r>
    </w:p>
    <w:p w14:paraId="3011C3D0" w14:textId="77777777" w:rsidR="00A55673" w:rsidRPr="00105769" w:rsidRDefault="00A55673" w:rsidP="00A55673">
      <w:pPr>
        <w:ind w:left="720"/>
      </w:pPr>
      <w:r>
        <w:t>Rapporteur: Bert-Jan RUISSEN</w:t>
      </w:r>
    </w:p>
    <w:p w14:paraId="3491CF24" w14:textId="77777777" w:rsidR="00A55673" w:rsidRPr="00105769" w:rsidRDefault="00A55673" w:rsidP="00A55673">
      <w:pPr>
        <w:ind w:left="720"/>
      </w:pPr>
      <w:r>
        <w:t>Date: 21 novembre 2023</w:t>
      </w:r>
    </w:p>
    <w:p w14:paraId="7C8465A3" w14:textId="0FD21D92" w:rsidR="00A55673" w:rsidRDefault="00A55673" w:rsidP="00A55673">
      <w:pPr>
        <w:pStyle w:val="ListParagraph"/>
        <w:spacing w:after="120" w:line="240" w:lineRule="auto"/>
        <w:ind w:left="643" w:firstLine="77"/>
        <w:jc w:val="both"/>
        <w:rPr>
          <w:noProof/>
        </w:rPr>
      </w:pPr>
      <w:r>
        <w:t>Commissaires compétents: Virginijus SINKEVIČIUS, Maroš ŠEFČOVIČ</w:t>
      </w:r>
    </w:p>
    <w:p w14:paraId="0AC52589" w14:textId="371F4DE9" w:rsidR="00A55673" w:rsidRDefault="00A55673" w:rsidP="00A55673">
      <w:pPr>
        <w:spacing w:after="240" w:line="240" w:lineRule="auto"/>
        <w:jc w:val="both"/>
        <w:rPr>
          <w:noProof/>
        </w:rPr>
      </w:pPr>
      <w:r>
        <w:t>Motif: la Commission ne donnera pas suite sous forme de fiche aux demandes formulées dans la résolution étant donné que le commissaire Hoekstra y a largement répondu en plénière au nom du commissaire Sinkevičius.</w:t>
      </w:r>
    </w:p>
    <w:p w14:paraId="07F6A513" w14:textId="26F76903" w:rsidR="0085700A" w:rsidRPr="0085700A" w:rsidRDefault="0085700A" w:rsidP="0085700A">
      <w:pPr>
        <w:pStyle w:val="ListParagraph"/>
        <w:numPr>
          <w:ilvl w:val="0"/>
          <w:numId w:val="26"/>
        </w:numPr>
        <w:spacing w:line="240" w:lineRule="auto"/>
        <w:ind w:left="720"/>
        <w:jc w:val="both"/>
        <w:rPr>
          <w:szCs w:val="24"/>
        </w:rPr>
      </w:pPr>
      <w:r>
        <w:t>Dernières attaques contre les femmes et les défenseurs des droits des femmes et détention arbitraire de citoyens européens en Iran [2023/2979 (RSP)]</w:t>
      </w:r>
    </w:p>
    <w:p w14:paraId="1C278360" w14:textId="77777777" w:rsidR="0085700A" w:rsidRPr="0085700A" w:rsidRDefault="0085700A" w:rsidP="0085700A">
      <w:pPr>
        <w:ind w:left="720"/>
        <w:jc w:val="both"/>
        <w:rPr>
          <w:szCs w:val="24"/>
        </w:rPr>
      </w:pPr>
      <w:r>
        <w:t xml:space="preserve">PE: RC9-0478/2023 </w:t>
      </w:r>
    </w:p>
    <w:p w14:paraId="32E7B991" w14:textId="77777777" w:rsidR="0085700A" w:rsidRPr="0085700A" w:rsidRDefault="0085700A" w:rsidP="0085700A">
      <w:pPr>
        <w:ind w:left="720"/>
        <w:jc w:val="both"/>
        <w:rPr>
          <w:szCs w:val="24"/>
        </w:rPr>
      </w:pPr>
      <w:r>
        <w:t>Date: 23 novembre 2023</w:t>
      </w:r>
    </w:p>
    <w:p w14:paraId="7EC6B249" w14:textId="77777777" w:rsidR="0085700A" w:rsidRPr="0085700A" w:rsidRDefault="0085700A" w:rsidP="0085700A">
      <w:pPr>
        <w:spacing w:after="120"/>
        <w:ind w:firstLine="720"/>
        <w:jc w:val="both"/>
        <w:rPr>
          <w:szCs w:val="24"/>
        </w:rPr>
      </w:pPr>
      <w:r>
        <w:t>Commissaire compétent: Joseph BORRELL FONTELLES</w:t>
      </w:r>
    </w:p>
    <w:p w14:paraId="27B286B8" w14:textId="71F689D6" w:rsidR="0085700A" w:rsidRPr="0085700A" w:rsidRDefault="0085700A" w:rsidP="0085700A">
      <w:pPr>
        <w:spacing w:after="240"/>
        <w:jc w:val="both"/>
        <w:rPr>
          <w:szCs w:val="24"/>
        </w:rPr>
      </w:pPr>
      <w:r>
        <w:t xml:space="preserve">Motif: la Commission ne donnera pas suite sous forme de fiche aux demandes formulées dans la résolution étant donné que la commissaire Šuica y a largement répondu en plénière au nom du haut représentant/vice-président </w:t>
      </w:r>
      <w:bookmarkStart w:id="10" w:name="_Hlk152343280"/>
      <w:r>
        <w:t>Borrell</w:t>
      </w:r>
      <w:bookmarkEnd w:id="10"/>
      <w:r>
        <w:t>.</w:t>
      </w:r>
    </w:p>
    <w:p w14:paraId="66E12C52" w14:textId="77BA6FF6" w:rsidR="0085700A" w:rsidRPr="0085700A" w:rsidRDefault="0085700A" w:rsidP="0085700A">
      <w:pPr>
        <w:pStyle w:val="ListParagraph"/>
        <w:numPr>
          <w:ilvl w:val="0"/>
          <w:numId w:val="26"/>
        </w:numPr>
        <w:spacing w:line="240" w:lineRule="auto"/>
        <w:ind w:left="720"/>
        <w:jc w:val="both"/>
        <w:rPr>
          <w:szCs w:val="24"/>
        </w:rPr>
      </w:pPr>
      <w:r>
        <w:t>La séquestration illégale du président Mohamed Bazoum au Niger [2023/2980 (RSP)])</w:t>
      </w:r>
    </w:p>
    <w:p w14:paraId="676E2313" w14:textId="77777777" w:rsidR="0085700A" w:rsidRPr="0085700A" w:rsidRDefault="0085700A" w:rsidP="0085700A">
      <w:pPr>
        <w:ind w:left="720"/>
        <w:jc w:val="both"/>
        <w:rPr>
          <w:szCs w:val="24"/>
        </w:rPr>
      </w:pPr>
      <w:r>
        <w:t xml:space="preserve">PE: RC9-0466/2023 </w:t>
      </w:r>
    </w:p>
    <w:p w14:paraId="07446F37" w14:textId="77777777" w:rsidR="0085700A" w:rsidRPr="0085700A" w:rsidRDefault="0085700A" w:rsidP="0085700A">
      <w:pPr>
        <w:ind w:left="720"/>
        <w:jc w:val="both"/>
        <w:rPr>
          <w:szCs w:val="24"/>
        </w:rPr>
      </w:pPr>
      <w:r>
        <w:t>Date: 23 novembre 2023</w:t>
      </w:r>
    </w:p>
    <w:p w14:paraId="676B4641" w14:textId="77777777" w:rsidR="0085700A" w:rsidRPr="0085700A" w:rsidRDefault="0085700A" w:rsidP="0085700A">
      <w:pPr>
        <w:spacing w:after="120"/>
        <w:ind w:firstLine="720"/>
        <w:jc w:val="both"/>
        <w:rPr>
          <w:szCs w:val="24"/>
        </w:rPr>
      </w:pPr>
      <w:r>
        <w:t>Commissaire compétent: Joseph BORRELL FONTELLES</w:t>
      </w:r>
    </w:p>
    <w:p w14:paraId="19730B13" w14:textId="744C5FB3" w:rsidR="0085700A" w:rsidRPr="0085700A" w:rsidRDefault="0085700A" w:rsidP="0085700A">
      <w:pPr>
        <w:spacing w:after="240"/>
        <w:jc w:val="both"/>
        <w:rPr>
          <w:szCs w:val="24"/>
        </w:rPr>
      </w:pPr>
      <w:r>
        <w:t>Motif: la Commission ne donnera pas suite sous forme de fiche aux demandes formulées dans la résolution étant donné que la commissaire Šuica y a largement répondu en plénière au nom du haut représentant/vice-président Borrell.</w:t>
      </w:r>
    </w:p>
    <w:p w14:paraId="60577EC0" w14:textId="5A0E9B06" w:rsidR="0085700A" w:rsidRPr="0085700A" w:rsidRDefault="0085700A" w:rsidP="0085700A">
      <w:pPr>
        <w:pStyle w:val="ListParagraph"/>
        <w:numPr>
          <w:ilvl w:val="0"/>
          <w:numId w:val="26"/>
        </w:numPr>
        <w:spacing w:line="240" w:lineRule="auto"/>
        <w:ind w:left="720"/>
        <w:jc w:val="both"/>
        <w:rPr>
          <w:szCs w:val="24"/>
        </w:rPr>
      </w:pPr>
      <w:r>
        <w:t xml:space="preserve">Les citoyens géorgiens Tamaz Ginturi et Levan Dotiashvili, respectivement tué et enlevé par les forces d’occupation russes dans la région géorgienne occupée de Tskhinvali [2023/2981) (RSP)] </w:t>
      </w:r>
    </w:p>
    <w:p w14:paraId="17A67613" w14:textId="77777777" w:rsidR="0085700A" w:rsidRPr="0085700A" w:rsidRDefault="0085700A" w:rsidP="0085700A">
      <w:pPr>
        <w:ind w:left="720"/>
        <w:jc w:val="both"/>
        <w:rPr>
          <w:szCs w:val="24"/>
        </w:rPr>
      </w:pPr>
      <w:r>
        <w:t xml:space="preserve">PE: RC9-0468/2023 </w:t>
      </w:r>
    </w:p>
    <w:p w14:paraId="680C8713" w14:textId="77777777" w:rsidR="0085700A" w:rsidRPr="0085700A" w:rsidRDefault="0085700A" w:rsidP="0085700A">
      <w:pPr>
        <w:ind w:left="720"/>
        <w:jc w:val="both"/>
        <w:rPr>
          <w:szCs w:val="24"/>
        </w:rPr>
      </w:pPr>
      <w:r>
        <w:t>Date: 23 novembre 2023</w:t>
      </w:r>
    </w:p>
    <w:p w14:paraId="7FBD575D" w14:textId="77777777" w:rsidR="0085700A" w:rsidRDefault="0085700A" w:rsidP="0085700A">
      <w:pPr>
        <w:spacing w:after="120"/>
        <w:ind w:firstLine="720"/>
        <w:jc w:val="both"/>
        <w:rPr>
          <w:szCs w:val="24"/>
        </w:rPr>
      </w:pPr>
      <w:r>
        <w:t>Commissaire compétent: Joseph BORRELL FONTELLES</w:t>
      </w:r>
    </w:p>
    <w:p w14:paraId="3E5368B9" w14:textId="1FF629B1" w:rsidR="0085700A" w:rsidRPr="0085700A" w:rsidRDefault="0085700A" w:rsidP="0085700A">
      <w:pPr>
        <w:spacing w:after="240"/>
        <w:jc w:val="both"/>
        <w:rPr>
          <w:szCs w:val="24"/>
        </w:rPr>
      </w:pPr>
      <w:r>
        <w:t>Motif: la Commission ne donnera pas suite sous forme de fiche aux demandes formulées dans la résolution étant donné que la commissaire Šuica y a largement répondu en plénière au nom du haut représentant/vice-président Borrell.</w:t>
      </w:r>
    </w:p>
    <w:sectPr w:rsidR="0085700A" w:rsidRPr="0085700A" w:rsidSect="00C85D7E">
      <w:headerReference w:type="even" r:id="rId8"/>
      <w:headerReference w:type="default" r:id="rId9"/>
      <w:footerReference w:type="even" r:id="rId10"/>
      <w:footerReference w:type="default" r:id="rId11"/>
      <w:headerReference w:type="first" r:id="rId12"/>
      <w:footerReference w:type="first" r:id="rId13"/>
      <w:pgSz w:w="11906" w:h="16838" w:code="9"/>
      <w:pgMar w:top="1276" w:right="1416"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AEF4B" w14:textId="77777777" w:rsidR="00EC7926" w:rsidRDefault="00EC7926">
      <w:pPr>
        <w:spacing w:line="240" w:lineRule="auto"/>
      </w:pPr>
      <w:r>
        <w:separator/>
      </w:r>
    </w:p>
  </w:endnote>
  <w:endnote w:type="continuationSeparator" w:id="0">
    <w:p w14:paraId="2043CDB5" w14:textId="77777777" w:rsidR="00EC7926" w:rsidRDefault="00EC7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3B3F5" w14:textId="77777777" w:rsidR="006771E7" w:rsidRDefault="006771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063513"/>
      <w:docPartObj>
        <w:docPartGallery w:val="Page Numbers (Bottom of Page)"/>
        <w:docPartUnique/>
      </w:docPartObj>
    </w:sdtPr>
    <w:sdtEndPr>
      <w:rPr>
        <w:noProof/>
      </w:rPr>
    </w:sdtEndPr>
    <w:sdtContent>
      <w:p w14:paraId="4CB9583F" w14:textId="24BC648F" w:rsidR="00EC7926" w:rsidRDefault="00EC7926">
        <w:pPr>
          <w:pStyle w:val="Footer"/>
          <w:jc w:val="center"/>
        </w:pPr>
        <w:r>
          <w:fldChar w:fldCharType="begin"/>
        </w:r>
        <w:r>
          <w:instrText xml:space="preserve"> PAGE   \* MERGEFORMAT </w:instrText>
        </w:r>
        <w:r>
          <w:fldChar w:fldCharType="separate"/>
        </w:r>
        <w:r w:rsidR="005B5685">
          <w:t>7</w:t>
        </w:r>
        <w:r>
          <w:fldChar w:fldCharType="end"/>
        </w:r>
      </w:p>
    </w:sdtContent>
  </w:sdt>
  <w:p w14:paraId="7D7B498A" w14:textId="77777777" w:rsidR="00EC7926" w:rsidRDefault="00EC7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76F8" w14:textId="53E37218" w:rsidR="00EC7926" w:rsidRPr="00D27B10" w:rsidRDefault="005B3B66" w:rsidP="00D27B10">
    <w:pPr>
      <w:pStyle w:val="Footer"/>
    </w:pPr>
    <w:sdt>
      <w:sdtPr>
        <w:id w:val="-2078815292"/>
        <w:dataBinding w:xpath="/Author/Addresses/Address[Id = 'f03b5801-04c9-4931-aa17-c6d6c70bc579']/Footer" w:storeItemID="{838978BC-C3A0-47AD-B09E-817DA4FB7F8A}"/>
        <w:text w:multiLine="1"/>
      </w:sdtPr>
      <w:sdtEndPr/>
      <w:sdtContent>
        <w:r w:rsidR="00600A54">
          <w:t>Commission européenne, 1049 Bruxelles, BELGIQUE - Tél. + 32 22991111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796EF" w14:textId="77777777" w:rsidR="00EC7926" w:rsidRDefault="00EC7926">
      <w:pPr>
        <w:spacing w:line="240" w:lineRule="auto"/>
      </w:pPr>
      <w:r>
        <w:separator/>
      </w:r>
    </w:p>
  </w:footnote>
  <w:footnote w:type="continuationSeparator" w:id="0">
    <w:p w14:paraId="72959857" w14:textId="77777777" w:rsidR="00EC7926" w:rsidRDefault="00EC79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AB5E" w14:textId="77777777" w:rsidR="006771E7" w:rsidRDefault="006771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4DF6" w14:textId="77777777" w:rsidR="006771E7" w:rsidRDefault="006771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876" w:type="dxa"/>
      <w:tblLayout w:type="fixed"/>
      <w:tblCellMar>
        <w:left w:w="0" w:type="dxa"/>
        <w:right w:w="0" w:type="dxa"/>
      </w:tblCellMar>
      <w:tblLook w:val="0000" w:firstRow="0" w:lastRow="0" w:firstColumn="0" w:lastColumn="0" w:noHBand="0" w:noVBand="0"/>
    </w:tblPr>
    <w:tblGrid>
      <w:gridCol w:w="2296"/>
      <w:gridCol w:w="7290"/>
      <w:gridCol w:w="7290"/>
    </w:tblGrid>
    <w:tr w:rsidR="00EC7926" w:rsidRPr="005B5685" w14:paraId="179CF99E" w14:textId="77777777" w:rsidTr="008762C3">
      <w:trPr>
        <w:trHeight w:hRule="exact" w:val="1423"/>
      </w:trPr>
      <w:tc>
        <w:tcPr>
          <w:tcW w:w="2296" w:type="dxa"/>
          <w:vAlign w:val="bottom"/>
        </w:tcPr>
        <w:p w14:paraId="7E80D048" w14:textId="77777777" w:rsidR="00EC7926" w:rsidRPr="004754B5" w:rsidRDefault="00EC7926" w:rsidP="004754B5">
          <w:pPr>
            <w:spacing w:before="100" w:beforeAutospacing="1" w:after="200" w:line="276" w:lineRule="auto"/>
            <w:rPr>
              <w:rFonts w:asciiTheme="minorHAnsi" w:eastAsiaTheme="minorHAnsi" w:hAnsiTheme="minorHAnsi" w:cstheme="minorBidi"/>
              <w:sz w:val="22"/>
              <w:szCs w:val="22"/>
            </w:rPr>
          </w:pPr>
          <w:r>
            <w:rPr>
              <w:rFonts w:asciiTheme="minorHAnsi" w:hAnsiTheme="minorHAnsi"/>
              <w:noProof/>
              <w:sz w:val="22"/>
            </w:rPr>
            <w:drawing>
              <wp:inline distT="0" distB="0" distL="0" distR="0" wp14:anchorId="7C20EE4C" wp14:editId="1662E564">
                <wp:extent cx="1365250" cy="66992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669925"/>
                        </a:xfrm>
                        <a:prstGeom prst="rect">
                          <a:avLst/>
                        </a:prstGeom>
                        <a:noFill/>
                        <a:ln>
                          <a:noFill/>
                        </a:ln>
                      </pic:spPr>
                    </pic:pic>
                  </a:graphicData>
                </a:graphic>
              </wp:inline>
            </w:drawing>
          </w:r>
        </w:p>
      </w:tc>
      <w:tc>
        <w:tcPr>
          <w:tcW w:w="7290" w:type="dxa"/>
        </w:tcPr>
        <w:p w14:paraId="48C1FEA6" w14:textId="77777777" w:rsidR="00D27B10" w:rsidRPr="000F6B0B" w:rsidRDefault="005B3B66" w:rsidP="00D27B10">
          <w:pPr>
            <w:pStyle w:val="ZCom"/>
            <w:rPr>
              <w:rFonts w:ascii="Times New Roman" w:hAnsi="Times New Roman"/>
            </w:rPr>
          </w:pPr>
          <w:sdt>
            <w:sdtPr>
              <w:rPr>
                <w:rFonts w:ascii="Times New Roman" w:hAnsi="Times New Roman"/>
              </w:rPr>
              <w:id w:val="-1449456239"/>
              <w:dataBinding w:xpath="/Texts/OrgaRoot" w:storeItemID="{4EF90DE6-88B6-4264-9629-4D8DFDFE87D2}"/>
              <w:text w:multiLine="1"/>
            </w:sdtPr>
            <w:sdtEndPr/>
            <w:sdtContent>
              <w:r w:rsidR="00600A54">
                <w:rPr>
                  <w:rFonts w:ascii="Times New Roman" w:hAnsi="Times New Roman"/>
                </w:rPr>
                <w:t>COMMISSION EUROPÉENNE</w:t>
              </w:r>
            </w:sdtContent>
          </w:sdt>
        </w:p>
        <w:p w14:paraId="55530AC8" w14:textId="77777777" w:rsidR="00D27B10" w:rsidRPr="000F6B0B" w:rsidRDefault="005B3B66" w:rsidP="00D27B10">
          <w:pPr>
            <w:pStyle w:val="ZDGName"/>
            <w:rPr>
              <w:rFonts w:ascii="Times New Roman" w:hAnsi="Times New Roman"/>
              <w:caps/>
            </w:rPr>
          </w:pPr>
          <w:sdt>
            <w:sdtPr>
              <w:rPr>
                <w:rFonts w:ascii="Times New Roman" w:hAnsi="Times New Roman"/>
                <w:caps/>
              </w:rPr>
              <w:id w:val="-1073502903"/>
              <w:dataBinding w:xpath="/Author/OrgaEntity1/HeadLine1" w:storeItemID="{7D34054F-3F6D-4A92-A692-E84D0A23A653}"/>
              <w:text w:multiLine="1"/>
            </w:sdtPr>
            <w:sdtEndPr/>
            <w:sdtContent>
              <w:r w:rsidR="00600A54">
                <w:rPr>
                  <w:rFonts w:ascii="Times New Roman" w:hAnsi="Times New Roman"/>
                  <w:caps/>
                </w:rPr>
                <w:t>SECRÉTARIAT GÉNÉRAL</w:t>
              </w:r>
            </w:sdtContent>
          </w:sdt>
        </w:p>
        <w:p w14:paraId="6DD18ABF" w14:textId="77777777" w:rsidR="00D27B10" w:rsidRPr="0007567F" w:rsidRDefault="00D27B10" w:rsidP="00D27B10">
          <w:pPr>
            <w:pStyle w:val="ZDGName"/>
            <w:rPr>
              <w:rFonts w:ascii="Times New Roman" w:hAnsi="Times New Roman"/>
              <w:lang w:val="fr-BE"/>
            </w:rPr>
          </w:pPr>
        </w:p>
        <w:p w14:paraId="1AC4B767" w14:textId="77777777" w:rsidR="00D27B10" w:rsidRPr="000F6B0B" w:rsidRDefault="005B3B66" w:rsidP="00D27B10">
          <w:pPr>
            <w:pStyle w:val="ZDGName"/>
            <w:rPr>
              <w:rFonts w:ascii="Times New Roman" w:hAnsi="Times New Roman"/>
            </w:rPr>
          </w:pPr>
          <w:sdt>
            <w:sdtPr>
              <w:rPr>
                <w:rFonts w:ascii="Times New Roman" w:hAnsi="Times New Roman"/>
              </w:rPr>
              <w:id w:val="818927274"/>
              <w:dataBinding w:xpath="/Author/OrgaEntity2/HeadLine1" w:storeItemID="{7D34054F-3F6D-4A92-A692-E84D0A23A653}"/>
              <w:text w:multiLine="1"/>
            </w:sdtPr>
            <w:sdtEndPr/>
            <w:sdtContent>
              <w:r w:rsidR="00600A54">
                <w:rPr>
                  <w:rFonts w:ascii="Times New Roman" w:hAnsi="Times New Roman"/>
                </w:rPr>
                <w:t>Direction B - Prise de décision et collégialité</w:t>
              </w:r>
            </w:sdtContent>
          </w:sdt>
        </w:p>
        <w:p w14:paraId="25386C7D" w14:textId="07BCA132" w:rsidR="00EC7926" w:rsidRPr="000F6B0B" w:rsidRDefault="005B3B66" w:rsidP="00D27B10">
          <w:pPr>
            <w:spacing w:line="240" w:lineRule="auto"/>
            <w:ind w:right="85"/>
            <w:jc w:val="both"/>
            <w:rPr>
              <w:rFonts w:cs="Arial"/>
              <w:color w:val="000000"/>
              <w:sz w:val="16"/>
              <w:szCs w:val="16"/>
            </w:rPr>
          </w:pPr>
          <w:sdt>
            <w:sdtPr>
              <w:rPr>
                <w:b/>
                <w:sz w:val="16"/>
                <w:szCs w:val="16"/>
              </w:rPr>
              <w:id w:val="-1771687423"/>
              <w:dataBinding w:xpath="/Author/OrgaEntity3/HeadLine1" w:storeItemID="{7D34054F-3F6D-4A92-A692-E84D0A23A653}"/>
              <w:text w:multiLine="1"/>
            </w:sdtPr>
            <w:sdtEndPr/>
            <w:sdtContent>
              <w:r w:rsidR="00600A54">
                <w:rPr>
                  <w:b/>
                  <w:sz w:val="16"/>
                </w:rPr>
                <w:t>SG.B.3 - Secrétariat du groupe des relations interinstitutionnelles (GRI)</w:t>
              </w:r>
            </w:sdtContent>
          </w:sdt>
        </w:p>
      </w:tc>
      <w:tc>
        <w:tcPr>
          <w:tcW w:w="7290" w:type="dxa"/>
          <w:vAlign w:val="bottom"/>
        </w:tcPr>
        <w:p w14:paraId="00A6BC93" w14:textId="77777777" w:rsidR="00EC7926" w:rsidRPr="0007567F" w:rsidRDefault="00EC7926" w:rsidP="004754B5">
          <w:pPr>
            <w:spacing w:after="200" w:line="240" w:lineRule="auto"/>
            <w:ind w:right="85"/>
            <w:rPr>
              <w:b/>
              <w:sz w:val="16"/>
              <w:szCs w:val="16"/>
              <w:lang w:val="fr-BE" w:eastAsia="en-US"/>
            </w:rPr>
          </w:pPr>
        </w:p>
      </w:tc>
    </w:tr>
  </w:tbl>
  <w:p w14:paraId="79ACE709" w14:textId="77777777" w:rsidR="00EC7926" w:rsidRPr="0007567F" w:rsidRDefault="00EC7926">
    <w:pPr>
      <w:pStyle w:val="Header"/>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CA6E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30741"/>
    <w:multiLevelType w:val="hybridMultilevel"/>
    <w:tmpl w:val="2FC8579A"/>
    <w:lvl w:ilvl="0" w:tplc="3228B35C">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C1DB22"/>
    <w:multiLevelType w:val="hybridMultilevel"/>
    <w:tmpl w:val="9814B73A"/>
    <w:lvl w:ilvl="0" w:tplc="D1483480">
      <w:start w:val="6"/>
      <w:numFmt w:val="bullet"/>
      <w:lvlText w:val="-"/>
      <w:lvlJc w:val="left"/>
      <w:pPr>
        <w:ind w:left="720" w:hanging="360"/>
      </w:pPr>
      <w:rPr>
        <w:rFonts w:ascii="Times New Roman" w:hAnsi="Times New Roman" w:hint="default"/>
      </w:rPr>
    </w:lvl>
    <w:lvl w:ilvl="1" w:tplc="67A802E8">
      <w:start w:val="1"/>
      <w:numFmt w:val="bullet"/>
      <w:lvlText w:val="o"/>
      <w:lvlJc w:val="left"/>
      <w:pPr>
        <w:ind w:left="1440" w:hanging="360"/>
      </w:pPr>
      <w:rPr>
        <w:rFonts w:ascii="Courier New" w:hAnsi="Courier New" w:hint="default"/>
      </w:rPr>
    </w:lvl>
    <w:lvl w:ilvl="2" w:tplc="F5243072">
      <w:start w:val="1"/>
      <w:numFmt w:val="bullet"/>
      <w:lvlText w:val=""/>
      <w:lvlJc w:val="left"/>
      <w:pPr>
        <w:ind w:left="2160" w:hanging="360"/>
      </w:pPr>
      <w:rPr>
        <w:rFonts w:ascii="Wingdings" w:hAnsi="Wingdings" w:hint="default"/>
      </w:rPr>
    </w:lvl>
    <w:lvl w:ilvl="3" w:tplc="E20C8DC4">
      <w:start w:val="1"/>
      <w:numFmt w:val="bullet"/>
      <w:lvlText w:val=""/>
      <w:lvlJc w:val="left"/>
      <w:pPr>
        <w:ind w:left="2880" w:hanging="360"/>
      </w:pPr>
      <w:rPr>
        <w:rFonts w:ascii="Symbol" w:hAnsi="Symbol" w:hint="default"/>
      </w:rPr>
    </w:lvl>
    <w:lvl w:ilvl="4" w:tplc="1792BD54">
      <w:start w:val="1"/>
      <w:numFmt w:val="bullet"/>
      <w:lvlText w:val="o"/>
      <w:lvlJc w:val="left"/>
      <w:pPr>
        <w:ind w:left="3600" w:hanging="360"/>
      </w:pPr>
      <w:rPr>
        <w:rFonts w:ascii="Courier New" w:hAnsi="Courier New" w:hint="default"/>
      </w:rPr>
    </w:lvl>
    <w:lvl w:ilvl="5" w:tplc="EB8C0B2A">
      <w:start w:val="1"/>
      <w:numFmt w:val="bullet"/>
      <w:lvlText w:val=""/>
      <w:lvlJc w:val="left"/>
      <w:pPr>
        <w:ind w:left="4320" w:hanging="360"/>
      </w:pPr>
      <w:rPr>
        <w:rFonts w:ascii="Wingdings" w:hAnsi="Wingdings" w:hint="default"/>
      </w:rPr>
    </w:lvl>
    <w:lvl w:ilvl="6" w:tplc="B5724D88">
      <w:start w:val="1"/>
      <w:numFmt w:val="bullet"/>
      <w:lvlText w:val=""/>
      <w:lvlJc w:val="left"/>
      <w:pPr>
        <w:ind w:left="5040" w:hanging="360"/>
      </w:pPr>
      <w:rPr>
        <w:rFonts w:ascii="Symbol" w:hAnsi="Symbol" w:hint="default"/>
      </w:rPr>
    </w:lvl>
    <w:lvl w:ilvl="7" w:tplc="B7CA4C7E">
      <w:start w:val="1"/>
      <w:numFmt w:val="bullet"/>
      <w:lvlText w:val="o"/>
      <w:lvlJc w:val="left"/>
      <w:pPr>
        <w:ind w:left="5760" w:hanging="360"/>
      </w:pPr>
      <w:rPr>
        <w:rFonts w:ascii="Courier New" w:hAnsi="Courier New" w:hint="default"/>
      </w:rPr>
    </w:lvl>
    <w:lvl w:ilvl="8" w:tplc="E3B63A82">
      <w:start w:val="1"/>
      <w:numFmt w:val="bullet"/>
      <w:lvlText w:val=""/>
      <w:lvlJc w:val="left"/>
      <w:pPr>
        <w:ind w:left="6480" w:hanging="360"/>
      </w:pPr>
      <w:rPr>
        <w:rFonts w:ascii="Wingdings" w:hAnsi="Wingdings" w:hint="default"/>
      </w:rPr>
    </w:lvl>
  </w:abstractNum>
  <w:abstractNum w:abstractNumId="3" w15:restartNumberingAfterBreak="0">
    <w:nsid w:val="202B488B"/>
    <w:multiLevelType w:val="hybridMultilevel"/>
    <w:tmpl w:val="5CFCB9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9A54EC1"/>
    <w:multiLevelType w:val="hybridMultilevel"/>
    <w:tmpl w:val="63285D02"/>
    <w:lvl w:ilvl="0" w:tplc="FFFFFFFF">
      <w:start w:val="6"/>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D293CE3"/>
    <w:multiLevelType w:val="multilevel"/>
    <w:tmpl w:val="0CE2A82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2E216E84"/>
    <w:multiLevelType w:val="hybridMultilevel"/>
    <w:tmpl w:val="6B98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4869D2"/>
    <w:multiLevelType w:val="hybridMultilevel"/>
    <w:tmpl w:val="E048D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B4994"/>
    <w:multiLevelType w:val="hybridMultilevel"/>
    <w:tmpl w:val="B94870E0"/>
    <w:lvl w:ilvl="0" w:tplc="80744CE0">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0AF87F4"/>
    <w:multiLevelType w:val="hybridMultilevel"/>
    <w:tmpl w:val="E29648E4"/>
    <w:lvl w:ilvl="0" w:tplc="B1C2EC30">
      <w:start w:val="6"/>
      <w:numFmt w:val="bullet"/>
      <w:lvlText w:val="-"/>
      <w:lvlJc w:val="left"/>
      <w:pPr>
        <w:ind w:left="720" w:hanging="360"/>
      </w:pPr>
      <w:rPr>
        <w:rFonts w:ascii="Times New Roman" w:hAnsi="Times New Roman" w:hint="default"/>
      </w:rPr>
    </w:lvl>
    <w:lvl w:ilvl="1" w:tplc="9F46C8A2">
      <w:start w:val="1"/>
      <w:numFmt w:val="bullet"/>
      <w:lvlText w:val="o"/>
      <w:lvlJc w:val="left"/>
      <w:pPr>
        <w:ind w:left="1440" w:hanging="360"/>
      </w:pPr>
      <w:rPr>
        <w:rFonts w:ascii="Courier New" w:hAnsi="Courier New" w:hint="default"/>
      </w:rPr>
    </w:lvl>
    <w:lvl w:ilvl="2" w:tplc="8130A882">
      <w:start w:val="1"/>
      <w:numFmt w:val="bullet"/>
      <w:lvlText w:val=""/>
      <w:lvlJc w:val="left"/>
      <w:pPr>
        <w:ind w:left="2160" w:hanging="360"/>
      </w:pPr>
      <w:rPr>
        <w:rFonts w:ascii="Wingdings" w:hAnsi="Wingdings" w:hint="default"/>
      </w:rPr>
    </w:lvl>
    <w:lvl w:ilvl="3" w:tplc="10A624BC">
      <w:start w:val="1"/>
      <w:numFmt w:val="bullet"/>
      <w:lvlText w:val=""/>
      <w:lvlJc w:val="left"/>
      <w:pPr>
        <w:ind w:left="2880" w:hanging="360"/>
      </w:pPr>
      <w:rPr>
        <w:rFonts w:ascii="Symbol" w:hAnsi="Symbol" w:hint="default"/>
      </w:rPr>
    </w:lvl>
    <w:lvl w:ilvl="4" w:tplc="9404C9B4">
      <w:start w:val="1"/>
      <w:numFmt w:val="bullet"/>
      <w:lvlText w:val="o"/>
      <w:lvlJc w:val="left"/>
      <w:pPr>
        <w:ind w:left="3600" w:hanging="360"/>
      </w:pPr>
      <w:rPr>
        <w:rFonts w:ascii="Courier New" w:hAnsi="Courier New" w:hint="default"/>
      </w:rPr>
    </w:lvl>
    <w:lvl w:ilvl="5" w:tplc="A934E1CA">
      <w:start w:val="1"/>
      <w:numFmt w:val="bullet"/>
      <w:lvlText w:val=""/>
      <w:lvlJc w:val="left"/>
      <w:pPr>
        <w:ind w:left="4320" w:hanging="360"/>
      </w:pPr>
      <w:rPr>
        <w:rFonts w:ascii="Wingdings" w:hAnsi="Wingdings" w:hint="default"/>
      </w:rPr>
    </w:lvl>
    <w:lvl w:ilvl="6" w:tplc="9CE47EA4">
      <w:start w:val="1"/>
      <w:numFmt w:val="bullet"/>
      <w:lvlText w:val=""/>
      <w:lvlJc w:val="left"/>
      <w:pPr>
        <w:ind w:left="5040" w:hanging="360"/>
      </w:pPr>
      <w:rPr>
        <w:rFonts w:ascii="Symbol" w:hAnsi="Symbol" w:hint="default"/>
      </w:rPr>
    </w:lvl>
    <w:lvl w:ilvl="7" w:tplc="FDFE90C2">
      <w:start w:val="1"/>
      <w:numFmt w:val="bullet"/>
      <w:lvlText w:val="o"/>
      <w:lvlJc w:val="left"/>
      <w:pPr>
        <w:ind w:left="5760" w:hanging="360"/>
      </w:pPr>
      <w:rPr>
        <w:rFonts w:ascii="Courier New" w:hAnsi="Courier New" w:hint="default"/>
      </w:rPr>
    </w:lvl>
    <w:lvl w:ilvl="8" w:tplc="E4C60BC2">
      <w:start w:val="1"/>
      <w:numFmt w:val="bullet"/>
      <w:lvlText w:val=""/>
      <w:lvlJc w:val="left"/>
      <w:pPr>
        <w:ind w:left="6480" w:hanging="360"/>
      </w:pPr>
      <w:rPr>
        <w:rFonts w:ascii="Wingdings" w:hAnsi="Wingdings" w:hint="default"/>
      </w:rPr>
    </w:lvl>
  </w:abstractNum>
  <w:abstractNum w:abstractNumId="10" w15:restartNumberingAfterBreak="0">
    <w:nsid w:val="540101A4"/>
    <w:multiLevelType w:val="hybridMultilevel"/>
    <w:tmpl w:val="78C00158"/>
    <w:lvl w:ilvl="0" w:tplc="3228B35C">
      <w:start w:val="1"/>
      <w:numFmt w:val="bullet"/>
      <w:lvlText w:val="-"/>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5B830138"/>
    <w:multiLevelType w:val="hybridMultilevel"/>
    <w:tmpl w:val="CA6AE1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EE54908"/>
    <w:multiLevelType w:val="hybridMultilevel"/>
    <w:tmpl w:val="061E27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339538D"/>
    <w:multiLevelType w:val="multilevel"/>
    <w:tmpl w:val="3DC876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C525E28"/>
    <w:multiLevelType w:val="hybridMultilevel"/>
    <w:tmpl w:val="690AFC32"/>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abstractNum w:abstractNumId="15" w15:restartNumberingAfterBreak="0">
    <w:nsid w:val="738A45E7"/>
    <w:multiLevelType w:val="hybridMultilevel"/>
    <w:tmpl w:val="150858BE"/>
    <w:lvl w:ilvl="0" w:tplc="FFFFFFFF">
      <w:start w:val="6"/>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A7F775D"/>
    <w:multiLevelType w:val="hybridMultilevel"/>
    <w:tmpl w:val="AC26E2C4"/>
    <w:lvl w:ilvl="0" w:tplc="2E2A6AEC">
      <w:start w:val="6"/>
      <w:numFmt w:val="bullet"/>
      <w:lvlText w:val="-"/>
      <w:lvlJc w:val="left"/>
      <w:pPr>
        <w:ind w:left="720" w:hanging="360"/>
      </w:pPr>
      <w:rPr>
        <w:rFonts w:ascii="Times New Roman" w:hAnsi="Times New Roman" w:hint="default"/>
      </w:rPr>
    </w:lvl>
    <w:lvl w:ilvl="1" w:tplc="3B86DBFC">
      <w:start w:val="1"/>
      <w:numFmt w:val="bullet"/>
      <w:lvlText w:val="o"/>
      <w:lvlJc w:val="left"/>
      <w:pPr>
        <w:ind w:left="1440" w:hanging="360"/>
      </w:pPr>
      <w:rPr>
        <w:rFonts w:ascii="Courier New" w:hAnsi="Courier New" w:hint="default"/>
      </w:rPr>
    </w:lvl>
    <w:lvl w:ilvl="2" w:tplc="FD043258">
      <w:start w:val="1"/>
      <w:numFmt w:val="bullet"/>
      <w:lvlText w:val=""/>
      <w:lvlJc w:val="left"/>
      <w:pPr>
        <w:ind w:left="2160" w:hanging="360"/>
      </w:pPr>
      <w:rPr>
        <w:rFonts w:ascii="Wingdings" w:hAnsi="Wingdings" w:hint="default"/>
      </w:rPr>
    </w:lvl>
    <w:lvl w:ilvl="3" w:tplc="CD525482">
      <w:start w:val="1"/>
      <w:numFmt w:val="bullet"/>
      <w:lvlText w:val=""/>
      <w:lvlJc w:val="left"/>
      <w:pPr>
        <w:ind w:left="2880" w:hanging="360"/>
      </w:pPr>
      <w:rPr>
        <w:rFonts w:ascii="Symbol" w:hAnsi="Symbol" w:hint="default"/>
      </w:rPr>
    </w:lvl>
    <w:lvl w:ilvl="4" w:tplc="6EC04DD4">
      <w:start w:val="1"/>
      <w:numFmt w:val="bullet"/>
      <w:lvlText w:val="o"/>
      <w:lvlJc w:val="left"/>
      <w:pPr>
        <w:ind w:left="3600" w:hanging="360"/>
      </w:pPr>
      <w:rPr>
        <w:rFonts w:ascii="Courier New" w:hAnsi="Courier New" w:hint="default"/>
      </w:rPr>
    </w:lvl>
    <w:lvl w:ilvl="5" w:tplc="52561B00">
      <w:start w:val="1"/>
      <w:numFmt w:val="bullet"/>
      <w:lvlText w:val=""/>
      <w:lvlJc w:val="left"/>
      <w:pPr>
        <w:ind w:left="4320" w:hanging="360"/>
      </w:pPr>
      <w:rPr>
        <w:rFonts w:ascii="Wingdings" w:hAnsi="Wingdings" w:hint="default"/>
      </w:rPr>
    </w:lvl>
    <w:lvl w:ilvl="6" w:tplc="2084A810">
      <w:start w:val="1"/>
      <w:numFmt w:val="bullet"/>
      <w:lvlText w:val=""/>
      <w:lvlJc w:val="left"/>
      <w:pPr>
        <w:ind w:left="5040" w:hanging="360"/>
      </w:pPr>
      <w:rPr>
        <w:rFonts w:ascii="Symbol" w:hAnsi="Symbol" w:hint="default"/>
      </w:rPr>
    </w:lvl>
    <w:lvl w:ilvl="7" w:tplc="F9D63422">
      <w:start w:val="1"/>
      <w:numFmt w:val="bullet"/>
      <w:lvlText w:val="o"/>
      <w:lvlJc w:val="left"/>
      <w:pPr>
        <w:ind w:left="5760" w:hanging="360"/>
      </w:pPr>
      <w:rPr>
        <w:rFonts w:ascii="Courier New" w:hAnsi="Courier New" w:hint="default"/>
      </w:rPr>
    </w:lvl>
    <w:lvl w:ilvl="8" w:tplc="53A8EB7A">
      <w:start w:val="1"/>
      <w:numFmt w:val="bullet"/>
      <w:lvlText w:val=""/>
      <w:lvlJc w:val="left"/>
      <w:pPr>
        <w:ind w:left="6480" w:hanging="360"/>
      </w:pPr>
      <w:rPr>
        <w:rFonts w:ascii="Wingdings" w:hAnsi="Wingdings" w:hint="default"/>
      </w:rPr>
    </w:lvl>
  </w:abstractNum>
  <w:num w:numId="1" w16cid:durableId="1209797970">
    <w:abstractNumId w:val="0"/>
  </w:num>
  <w:num w:numId="2" w16cid:durableId="1458404244">
    <w:abstractNumId w:val="14"/>
  </w:num>
  <w:num w:numId="3" w16cid:durableId="89130721">
    <w:abstractNumId w:val="1"/>
  </w:num>
  <w:num w:numId="4" w16cid:durableId="812329706">
    <w:abstractNumId w:val="5"/>
  </w:num>
  <w:num w:numId="5" w16cid:durableId="489102924">
    <w:abstractNumId w:val="10"/>
  </w:num>
  <w:num w:numId="6" w16cid:durableId="948926993">
    <w:abstractNumId w:val="14"/>
  </w:num>
  <w:num w:numId="7" w16cid:durableId="249657015">
    <w:abstractNumId w:val="7"/>
  </w:num>
  <w:num w:numId="8" w16cid:durableId="614099457">
    <w:abstractNumId w:val="6"/>
  </w:num>
  <w:num w:numId="9" w16cid:durableId="512191329">
    <w:abstractNumId w:val="14"/>
  </w:num>
  <w:num w:numId="10" w16cid:durableId="2888259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3962826">
    <w:abstractNumId w:val="3"/>
  </w:num>
  <w:num w:numId="12" w16cid:durableId="1625690675">
    <w:abstractNumId w:val="14"/>
  </w:num>
  <w:num w:numId="13" w16cid:durableId="955254008">
    <w:abstractNumId w:val="12"/>
  </w:num>
  <w:num w:numId="14" w16cid:durableId="442770231">
    <w:abstractNumId w:val="14"/>
  </w:num>
  <w:num w:numId="15" w16cid:durableId="1283420040">
    <w:abstractNumId w:val="14"/>
  </w:num>
  <w:num w:numId="16" w16cid:durableId="1816482584">
    <w:abstractNumId w:val="14"/>
  </w:num>
  <w:num w:numId="17" w16cid:durableId="1504272030">
    <w:abstractNumId w:val="14"/>
  </w:num>
  <w:num w:numId="18" w16cid:durableId="746073558">
    <w:abstractNumId w:val="9"/>
  </w:num>
  <w:num w:numId="19" w16cid:durableId="847599538">
    <w:abstractNumId w:val="2"/>
  </w:num>
  <w:num w:numId="20" w16cid:durableId="124549609">
    <w:abstractNumId w:val="16"/>
  </w:num>
  <w:num w:numId="21" w16cid:durableId="658777047">
    <w:abstractNumId w:val="8"/>
  </w:num>
  <w:num w:numId="22" w16cid:durableId="880441373">
    <w:abstractNumId w:val="15"/>
  </w:num>
  <w:num w:numId="23" w16cid:durableId="1231496946">
    <w:abstractNumId w:val="4"/>
  </w:num>
  <w:num w:numId="24" w16cid:durableId="1442263468">
    <w:abstractNumId w:val="14"/>
  </w:num>
  <w:num w:numId="25" w16cid:durableId="1631009696">
    <w:abstractNumId w:val="11"/>
  </w:num>
  <w:num w:numId="26" w16cid:durableId="79012759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pt-PT" w:vendorID="64" w:dllVersion="6" w:nlCheck="1" w:checkStyle="0"/>
  <w:activeWritingStyle w:appName="MSWord" w:lang="en-IE" w:vendorID="64" w:dllVersion="6" w:nlCheck="1" w:checkStyle="1"/>
  <w:activeWritingStyle w:appName="MSWord" w:lang="it-IT" w:vendorID="64" w:dllVersion="6" w:nlCheck="1" w:checkStyle="0"/>
  <w:activeWritingStyle w:appName="MSWord" w:lang="nl-NL" w:vendorID="64" w:dllVersion="6" w:nlCheck="1" w:checkStyle="0"/>
  <w:activeWritingStyle w:appName="MSWord" w:lang="fr-FR" w:vendorID="64" w:dllVersion="6"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en-US" w:vendorID="64" w:dllVersion="0" w:nlCheck="1" w:checkStyle="0"/>
  <w:activeWritingStyle w:appName="MSWord" w:lang="pt-PT" w:vendorID="64" w:dllVersion="0" w:nlCheck="1" w:checkStyle="0"/>
  <w:activeWritingStyle w:appName="MSWord" w:lang="nl-BE" w:vendorID="64" w:dllVersion="6" w:nlCheck="1" w:checkStyle="0"/>
  <w:activeWritingStyle w:appName="MSWord" w:lang="nl-BE" w:vendorID="64" w:dllVersion="0" w:nlCheck="1" w:checkStyle="0"/>
  <w:activeWritingStyle w:appName="MSWord" w:lang="it-IT" w:vendorID="64" w:dllVersion="0" w:nlCheck="1" w:checkStyle="0"/>
  <w:activeWritingStyle w:appName="MSWord" w:lang="es-ES_tradnl" w:vendorID="64" w:dllVersion="0" w:nlCheck="1" w:checkStyle="0"/>
  <w:activeWritingStyle w:appName="MSWord" w:lang="fr-FR" w:vendorID="64" w:dllVersion="0" w:nlCheck="1" w:checkStyle="0"/>
  <w:defaultTabStop w:val="720"/>
  <w:hyphenationZone w:val="425"/>
  <w:characterSpacingControl w:val="doNotCompress"/>
  <w:hdrShapeDefaults>
    <o:shapedefaults v:ext="edit" spidmax="917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935ED8"/>
    <w:rsid w:val="00000E45"/>
    <w:rsid w:val="00001C75"/>
    <w:rsid w:val="00002127"/>
    <w:rsid w:val="00002E5D"/>
    <w:rsid w:val="00003414"/>
    <w:rsid w:val="0000481F"/>
    <w:rsid w:val="000067A5"/>
    <w:rsid w:val="000067BE"/>
    <w:rsid w:val="0000702D"/>
    <w:rsid w:val="000076B1"/>
    <w:rsid w:val="00011310"/>
    <w:rsid w:val="00014F61"/>
    <w:rsid w:val="0001505A"/>
    <w:rsid w:val="00015983"/>
    <w:rsid w:val="00015F97"/>
    <w:rsid w:val="00016D89"/>
    <w:rsid w:val="00017EEB"/>
    <w:rsid w:val="00017F58"/>
    <w:rsid w:val="00020302"/>
    <w:rsid w:val="000212EF"/>
    <w:rsid w:val="000216B0"/>
    <w:rsid w:val="00021B5A"/>
    <w:rsid w:val="00021F43"/>
    <w:rsid w:val="00022030"/>
    <w:rsid w:val="00023E92"/>
    <w:rsid w:val="00025D11"/>
    <w:rsid w:val="0002612B"/>
    <w:rsid w:val="00026E22"/>
    <w:rsid w:val="00026EFD"/>
    <w:rsid w:val="00026F42"/>
    <w:rsid w:val="000272E3"/>
    <w:rsid w:val="00032279"/>
    <w:rsid w:val="00033F7D"/>
    <w:rsid w:val="00034338"/>
    <w:rsid w:val="0003642E"/>
    <w:rsid w:val="000371E3"/>
    <w:rsid w:val="000404B8"/>
    <w:rsid w:val="00041B37"/>
    <w:rsid w:val="00043EDE"/>
    <w:rsid w:val="00045855"/>
    <w:rsid w:val="00045BF0"/>
    <w:rsid w:val="00046224"/>
    <w:rsid w:val="000516D6"/>
    <w:rsid w:val="00052442"/>
    <w:rsid w:val="00053607"/>
    <w:rsid w:val="00055079"/>
    <w:rsid w:val="00055096"/>
    <w:rsid w:val="00055589"/>
    <w:rsid w:val="000557D5"/>
    <w:rsid w:val="0005615D"/>
    <w:rsid w:val="000577CD"/>
    <w:rsid w:val="00061954"/>
    <w:rsid w:val="0006209D"/>
    <w:rsid w:val="0006264D"/>
    <w:rsid w:val="00065320"/>
    <w:rsid w:val="00065724"/>
    <w:rsid w:val="00067828"/>
    <w:rsid w:val="000712EA"/>
    <w:rsid w:val="000718ED"/>
    <w:rsid w:val="000729D8"/>
    <w:rsid w:val="00073632"/>
    <w:rsid w:val="000749BB"/>
    <w:rsid w:val="0007567F"/>
    <w:rsid w:val="0007573A"/>
    <w:rsid w:val="00076D8B"/>
    <w:rsid w:val="000810C3"/>
    <w:rsid w:val="00081F5A"/>
    <w:rsid w:val="000832AF"/>
    <w:rsid w:val="00084136"/>
    <w:rsid w:val="00087A63"/>
    <w:rsid w:val="000924DF"/>
    <w:rsid w:val="0009377F"/>
    <w:rsid w:val="0009387E"/>
    <w:rsid w:val="00093F2C"/>
    <w:rsid w:val="000953C9"/>
    <w:rsid w:val="000957C1"/>
    <w:rsid w:val="00096F3B"/>
    <w:rsid w:val="000A0207"/>
    <w:rsid w:val="000A0E88"/>
    <w:rsid w:val="000A1A3F"/>
    <w:rsid w:val="000A2685"/>
    <w:rsid w:val="000A4A12"/>
    <w:rsid w:val="000A52E4"/>
    <w:rsid w:val="000A636A"/>
    <w:rsid w:val="000B1035"/>
    <w:rsid w:val="000B1691"/>
    <w:rsid w:val="000B3275"/>
    <w:rsid w:val="000B4205"/>
    <w:rsid w:val="000B48E7"/>
    <w:rsid w:val="000C074A"/>
    <w:rsid w:val="000C0EC1"/>
    <w:rsid w:val="000C2FF5"/>
    <w:rsid w:val="000C60D6"/>
    <w:rsid w:val="000C6946"/>
    <w:rsid w:val="000C7097"/>
    <w:rsid w:val="000C79B3"/>
    <w:rsid w:val="000D0396"/>
    <w:rsid w:val="000D0DB1"/>
    <w:rsid w:val="000D10D4"/>
    <w:rsid w:val="000D4FA6"/>
    <w:rsid w:val="000D500B"/>
    <w:rsid w:val="000D5031"/>
    <w:rsid w:val="000D59CD"/>
    <w:rsid w:val="000D65C2"/>
    <w:rsid w:val="000D6C11"/>
    <w:rsid w:val="000D70B9"/>
    <w:rsid w:val="000E165B"/>
    <w:rsid w:val="000E575F"/>
    <w:rsid w:val="000E6BA2"/>
    <w:rsid w:val="000E6D92"/>
    <w:rsid w:val="000E76F4"/>
    <w:rsid w:val="000E79A3"/>
    <w:rsid w:val="000E7C0B"/>
    <w:rsid w:val="000F2102"/>
    <w:rsid w:val="000F2A1E"/>
    <w:rsid w:val="000F4894"/>
    <w:rsid w:val="000F67B9"/>
    <w:rsid w:val="000F6B0B"/>
    <w:rsid w:val="000F6CE1"/>
    <w:rsid w:val="000F725F"/>
    <w:rsid w:val="000F7ED6"/>
    <w:rsid w:val="00100004"/>
    <w:rsid w:val="00100CEE"/>
    <w:rsid w:val="00102B2E"/>
    <w:rsid w:val="00105CF1"/>
    <w:rsid w:val="001060D4"/>
    <w:rsid w:val="00106B6C"/>
    <w:rsid w:val="0011199D"/>
    <w:rsid w:val="0011242A"/>
    <w:rsid w:val="00112468"/>
    <w:rsid w:val="00112745"/>
    <w:rsid w:val="00112C54"/>
    <w:rsid w:val="00116899"/>
    <w:rsid w:val="001178D2"/>
    <w:rsid w:val="00120883"/>
    <w:rsid w:val="00121E14"/>
    <w:rsid w:val="00122820"/>
    <w:rsid w:val="00123120"/>
    <w:rsid w:val="00123AF4"/>
    <w:rsid w:val="00124974"/>
    <w:rsid w:val="001256F5"/>
    <w:rsid w:val="00125AF3"/>
    <w:rsid w:val="00126785"/>
    <w:rsid w:val="001275A0"/>
    <w:rsid w:val="001277B3"/>
    <w:rsid w:val="00131053"/>
    <w:rsid w:val="00133727"/>
    <w:rsid w:val="00133937"/>
    <w:rsid w:val="00135201"/>
    <w:rsid w:val="00136113"/>
    <w:rsid w:val="00143E66"/>
    <w:rsid w:val="0014647F"/>
    <w:rsid w:val="00147148"/>
    <w:rsid w:val="00147EC4"/>
    <w:rsid w:val="001522AD"/>
    <w:rsid w:val="00153A29"/>
    <w:rsid w:val="00156619"/>
    <w:rsid w:val="00157687"/>
    <w:rsid w:val="0016035E"/>
    <w:rsid w:val="001630D9"/>
    <w:rsid w:val="00165F24"/>
    <w:rsid w:val="0017144D"/>
    <w:rsid w:val="001739C1"/>
    <w:rsid w:val="00173A20"/>
    <w:rsid w:val="00176D46"/>
    <w:rsid w:val="00177CD5"/>
    <w:rsid w:val="00177E49"/>
    <w:rsid w:val="00180624"/>
    <w:rsid w:val="001816F8"/>
    <w:rsid w:val="001838CA"/>
    <w:rsid w:val="00184159"/>
    <w:rsid w:val="00185C33"/>
    <w:rsid w:val="001870EC"/>
    <w:rsid w:val="00187262"/>
    <w:rsid w:val="00187C9A"/>
    <w:rsid w:val="0019052D"/>
    <w:rsid w:val="00190AE7"/>
    <w:rsid w:val="001912D5"/>
    <w:rsid w:val="00191799"/>
    <w:rsid w:val="001922CC"/>
    <w:rsid w:val="0019325B"/>
    <w:rsid w:val="00194104"/>
    <w:rsid w:val="001953FB"/>
    <w:rsid w:val="00195516"/>
    <w:rsid w:val="00195BB4"/>
    <w:rsid w:val="0019716A"/>
    <w:rsid w:val="00197734"/>
    <w:rsid w:val="00197C1D"/>
    <w:rsid w:val="001A295A"/>
    <w:rsid w:val="001A2C75"/>
    <w:rsid w:val="001A3A27"/>
    <w:rsid w:val="001A5E68"/>
    <w:rsid w:val="001A5F28"/>
    <w:rsid w:val="001A6761"/>
    <w:rsid w:val="001A7A13"/>
    <w:rsid w:val="001B1799"/>
    <w:rsid w:val="001B3239"/>
    <w:rsid w:val="001B3562"/>
    <w:rsid w:val="001B3CFA"/>
    <w:rsid w:val="001B4F99"/>
    <w:rsid w:val="001B50B4"/>
    <w:rsid w:val="001B6C58"/>
    <w:rsid w:val="001C0E24"/>
    <w:rsid w:val="001C73F3"/>
    <w:rsid w:val="001C7AA8"/>
    <w:rsid w:val="001D04C7"/>
    <w:rsid w:val="001D2B20"/>
    <w:rsid w:val="001D4080"/>
    <w:rsid w:val="001D4244"/>
    <w:rsid w:val="001D6416"/>
    <w:rsid w:val="001D65E0"/>
    <w:rsid w:val="001E18ED"/>
    <w:rsid w:val="001E1E30"/>
    <w:rsid w:val="001E216D"/>
    <w:rsid w:val="001E430C"/>
    <w:rsid w:val="001E53FF"/>
    <w:rsid w:val="001E59B8"/>
    <w:rsid w:val="001E60C0"/>
    <w:rsid w:val="001E64A0"/>
    <w:rsid w:val="001E74B9"/>
    <w:rsid w:val="001F0697"/>
    <w:rsid w:val="001F0BBE"/>
    <w:rsid w:val="001F1498"/>
    <w:rsid w:val="001F2CC8"/>
    <w:rsid w:val="001F3EFD"/>
    <w:rsid w:val="001F44D5"/>
    <w:rsid w:val="001F5B22"/>
    <w:rsid w:val="001F646B"/>
    <w:rsid w:val="002000C7"/>
    <w:rsid w:val="002002E8"/>
    <w:rsid w:val="0020052A"/>
    <w:rsid w:val="00202223"/>
    <w:rsid w:val="0020251A"/>
    <w:rsid w:val="002041F5"/>
    <w:rsid w:val="00204CB5"/>
    <w:rsid w:val="002050A8"/>
    <w:rsid w:val="0020514A"/>
    <w:rsid w:val="002078FA"/>
    <w:rsid w:val="0021178C"/>
    <w:rsid w:val="002142D3"/>
    <w:rsid w:val="00216AEE"/>
    <w:rsid w:val="00220B4E"/>
    <w:rsid w:val="002219A6"/>
    <w:rsid w:val="00221C5C"/>
    <w:rsid w:val="002231AB"/>
    <w:rsid w:val="00223D38"/>
    <w:rsid w:val="00225916"/>
    <w:rsid w:val="00226E6C"/>
    <w:rsid w:val="002318F2"/>
    <w:rsid w:val="00232488"/>
    <w:rsid w:val="002347A0"/>
    <w:rsid w:val="0023583E"/>
    <w:rsid w:val="00235B75"/>
    <w:rsid w:val="002360D9"/>
    <w:rsid w:val="0023647E"/>
    <w:rsid w:val="00240048"/>
    <w:rsid w:val="00241DEB"/>
    <w:rsid w:val="00245DBC"/>
    <w:rsid w:val="0024709A"/>
    <w:rsid w:val="00247145"/>
    <w:rsid w:val="00247E3D"/>
    <w:rsid w:val="00250F89"/>
    <w:rsid w:val="002523DA"/>
    <w:rsid w:val="002566EF"/>
    <w:rsid w:val="002576E0"/>
    <w:rsid w:val="00257975"/>
    <w:rsid w:val="00262D89"/>
    <w:rsid w:val="00262F21"/>
    <w:rsid w:val="002631A7"/>
    <w:rsid w:val="00263D68"/>
    <w:rsid w:val="002640AD"/>
    <w:rsid w:val="0026424D"/>
    <w:rsid w:val="002654F8"/>
    <w:rsid w:val="002711BA"/>
    <w:rsid w:val="00271E2E"/>
    <w:rsid w:val="0027579E"/>
    <w:rsid w:val="00276F5B"/>
    <w:rsid w:val="002803A1"/>
    <w:rsid w:val="00285581"/>
    <w:rsid w:val="0029072A"/>
    <w:rsid w:val="00291A9B"/>
    <w:rsid w:val="00291C66"/>
    <w:rsid w:val="00294669"/>
    <w:rsid w:val="00297A6F"/>
    <w:rsid w:val="002A02CF"/>
    <w:rsid w:val="002A1869"/>
    <w:rsid w:val="002A204C"/>
    <w:rsid w:val="002A481C"/>
    <w:rsid w:val="002A4D93"/>
    <w:rsid w:val="002A5837"/>
    <w:rsid w:val="002A6F3B"/>
    <w:rsid w:val="002B01D8"/>
    <w:rsid w:val="002B079E"/>
    <w:rsid w:val="002B1C45"/>
    <w:rsid w:val="002B2E4E"/>
    <w:rsid w:val="002B47B9"/>
    <w:rsid w:val="002B5A55"/>
    <w:rsid w:val="002C1E7C"/>
    <w:rsid w:val="002C42A0"/>
    <w:rsid w:val="002C4D1F"/>
    <w:rsid w:val="002C61F4"/>
    <w:rsid w:val="002C6C40"/>
    <w:rsid w:val="002D1891"/>
    <w:rsid w:val="002D1F6A"/>
    <w:rsid w:val="002D2B8E"/>
    <w:rsid w:val="002D43F9"/>
    <w:rsid w:val="002D5EF2"/>
    <w:rsid w:val="002E6296"/>
    <w:rsid w:val="002E777F"/>
    <w:rsid w:val="002E7DE8"/>
    <w:rsid w:val="002E7F0A"/>
    <w:rsid w:val="002F2144"/>
    <w:rsid w:val="002F35B1"/>
    <w:rsid w:val="002F3C4F"/>
    <w:rsid w:val="002F7976"/>
    <w:rsid w:val="00300D90"/>
    <w:rsid w:val="0030280B"/>
    <w:rsid w:val="00302BB8"/>
    <w:rsid w:val="003030EB"/>
    <w:rsid w:val="00303A72"/>
    <w:rsid w:val="00310798"/>
    <w:rsid w:val="00314DE1"/>
    <w:rsid w:val="003167C9"/>
    <w:rsid w:val="0031759A"/>
    <w:rsid w:val="00322729"/>
    <w:rsid w:val="003248B4"/>
    <w:rsid w:val="00325C34"/>
    <w:rsid w:val="00325CA1"/>
    <w:rsid w:val="003262C1"/>
    <w:rsid w:val="00331238"/>
    <w:rsid w:val="00331440"/>
    <w:rsid w:val="003349DD"/>
    <w:rsid w:val="003350A3"/>
    <w:rsid w:val="00335951"/>
    <w:rsid w:val="003362DC"/>
    <w:rsid w:val="00336317"/>
    <w:rsid w:val="00342308"/>
    <w:rsid w:val="003424B9"/>
    <w:rsid w:val="00343894"/>
    <w:rsid w:val="00343DD6"/>
    <w:rsid w:val="00346439"/>
    <w:rsid w:val="0035007C"/>
    <w:rsid w:val="0035149E"/>
    <w:rsid w:val="00351503"/>
    <w:rsid w:val="00351F54"/>
    <w:rsid w:val="00356506"/>
    <w:rsid w:val="003566B5"/>
    <w:rsid w:val="003567A4"/>
    <w:rsid w:val="003576C5"/>
    <w:rsid w:val="003577DA"/>
    <w:rsid w:val="00357A32"/>
    <w:rsid w:val="00357C41"/>
    <w:rsid w:val="00360F5F"/>
    <w:rsid w:val="00361561"/>
    <w:rsid w:val="00362FD5"/>
    <w:rsid w:val="00363656"/>
    <w:rsid w:val="00363BC2"/>
    <w:rsid w:val="00365C91"/>
    <w:rsid w:val="003669EA"/>
    <w:rsid w:val="003674C6"/>
    <w:rsid w:val="00371400"/>
    <w:rsid w:val="003714CD"/>
    <w:rsid w:val="00371EF3"/>
    <w:rsid w:val="00372432"/>
    <w:rsid w:val="00372B7F"/>
    <w:rsid w:val="00372C4C"/>
    <w:rsid w:val="0037375E"/>
    <w:rsid w:val="00373AC1"/>
    <w:rsid w:val="00374A9B"/>
    <w:rsid w:val="00375D5F"/>
    <w:rsid w:val="003766B2"/>
    <w:rsid w:val="00377C4C"/>
    <w:rsid w:val="0038065B"/>
    <w:rsid w:val="00380C79"/>
    <w:rsid w:val="003829E1"/>
    <w:rsid w:val="00382BAA"/>
    <w:rsid w:val="00382CB5"/>
    <w:rsid w:val="003830C4"/>
    <w:rsid w:val="00390429"/>
    <w:rsid w:val="00391983"/>
    <w:rsid w:val="00391BEE"/>
    <w:rsid w:val="00393E7F"/>
    <w:rsid w:val="00394BAD"/>
    <w:rsid w:val="00395751"/>
    <w:rsid w:val="00396345"/>
    <w:rsid w:val="00396E1A"/>
    <w:rsid w:val="003A033C"/>
    <w:rsid w:val="003A1199"/>
    <w:rsid w:val="003A18CD"/>
    <w:rsid w:val="003A1A82"/>
    <w:rsid w:val="003A3D18"/>
    <w:rsid w:val="003A59B1"/>
    <w:rsid w:val="003A5FB6"/>
    <w:rsid w:val="003A616A"/>
    <w:rsid w:val="003A63E7"/>
    <w:rsid w:val="003B184A"/>
    <w:rsid w:val="003B4C03"/>
    <w:rsid w:val="003B552D"/>
    <w:rsid w:val="003B6145"/>
    <w:rsid w:val="003C1995"/>
    <w:rsid w:val="003C25A2"/>
    <w:rsid w:val="003C54D0"/>
    <w:rsid w:val="003C5DEE"/>
    <w:rsid w:val="003C6DA8"/>
    <w:rsid w:val="003C7591"/>
    <w:rsid w:val="003C77EC"/>
    <w:rsid w:val="003C7CCB"/>
    <w:rsid w:val="003C7D43"/>
    <w:rsid w:val="003D2583"/>
    <w:rsid w:val="003D28EA"/>
    <w:rsid w:val="003D3D6D"/>
    <w:rsid w:val="003D5B3C"/>
    <w:rsid w:val="003D7D20"/>
    <w:rsid w:val="003E4886"/>
    <w:rsid w:val="003E4A3C"/>
    <w:rsid w:val="003E520A"/>
    <w:rsid w:val="003E52DC"/>
    <w:rsid w:val="003E6C10"/>
    <w:rsid w:val="003F01E8"/>
    <w:rsid w:val="003F0700"/>
    <w:rsid w:val="003F0CCF"/>
    <w:rsid w:val="003F4225"/>
    <w:rsid w:val="00401406"/>
    <w:rsid w:val="00401AE3"/>
    <w:rsid w:val="00402105"/>
    <w:rsid w:val="004022C6"/>
    <w:rsid w:val="004034C6"/>
    <w:rsid w:val="0040545B"/>
    <w:rsid w:val="00405BA5"/>
    <w:rsid w:val="00406310"/>
    <w:rsid w:val="00406359"/>
    <w:rsid w:val="004064AC"/>
    <w:rsid w:val="004068EE"/>
    <w:rsid w:val="00407049"/>
    <w:rsid w:val="004201F6"/>
    <w:rsid w:val="004209B8"/>
    <w:rsid w:val="00422B13"/>
    <w:rsid w:val="004238D3"/>
    <w:rsid w:val="004247BB"/>
    <w:rsid w:val="00425B42"/>
    <w:rsid w:val="00425F0A"/>
    <w:rsid w:val="004304B6"/>
    <w:rsid w:val="00430AE0"/>
    <w:rsid w:val="00431DFE"/>
    <w:rsid w:val="00434678"/>
    <w:rsid w:val="004353F6"/>
    <w:rsid w:val="0043565D"/>
    <w:rsid w:val="00435B3B"/>
    <w:rsid w:val="004368BC"/>
    <w:rsid w:val="00437D6C"/>
    <w:rsid w:val="00440609"/>
    <w:rsid w:val="00442283"/>
    <w:rsid w:val="00443292"/>
    <w:rsid w:val="004440DE"/>
    <w:rsid w:val="004513B3"/>
    <w:rsid w:val="004518F8"/>
    <w:rsid w:val="004533DF"/>
    <w:rsid w:val="004551A1"/>
    <w:rsid w:val="00455DE2"/>
    <w:rsid w:val="004564C9"/>
    <w:rsid w:val="004612AF"/>
    <w:rsid w:val="00464769"/>
    <w:rsid w:val="00466693"/>
    <w:rsid w:val="00471C99"/>
    <w:rsid w:val="00471E49"/>
    <w:rsid w:val="00473D53"/>
    <w:rsid w:val="004754B5"/>
    <w:rsid w:val="00475A2E"/>
    <w:rsid w:val="00476B65"/>
    <w:rsid w:val="00481615"/>
    <w:rsid w:val="00481986"/>
    <w:rsid w:val="004821C7"/>
    <w:rsid w:val="00482A76"/>
    <w:rsid w:val="00483F73"/>
    <w:rsid w:val="004844F4"/>
    <w:rsid w:val="0048469B"/>
    <w:rsid w:val="004847D5"/>
    <w:rsid w:val="00485CC3"/>
    <w:rsid w:val="00485E3F"/>
    <w:rsid w:val="0048715C"/>
    <w:rsid w:val="004871C5"/>
    <w:rsid w:val="0049007F"/>
    <w:rsid w:val="00490853"/>
    <w:rsid w:val="00491E00"/>
    <w:rsid w:val="00492F73"/>
    <w:rsid w:val="00493A49"/>
    <w:rsid w:val="004945A4"/>
    <w:rsid w:val="00494974"/>
    <w:rsid w:val="004A12B0"/>
    <w:rsid w:val="004A150E"/>
    <w:rsid w:val="004A1A9B"/>
    <w:rsid w:val="004A1F6C"/>
    <w:rsid w:val="004A2A0B"/>
    <w:rsid w:val="004A4410"/>
    <w:rsid w:val="004A4DD5"/>
    <w:rsid w:val="004B0C97"/>
    <w:rsid w:val="004B1260"/>
    <w:rsid w:val="004B2F3C"/>
    <w:rsid w:val="004B3570"/>
    <w:rsid w:val="004B7B97"/>
    <w:rsid w:val="004C02AD"/>
    <w:rsid w:val="004C2708"/>
    <w:rsid w:val="004C3D46"/>
    <w:rsid w:val="004C7472"/>
    <w:rsid w:val="004D0416"/>
    <w:rsid w:val="004D36DA"/>
    <w:rsid w:val="004D3A42"/>
    <w:rsid w:val="004D4210"/>
    <w:rsid w:val="004D585F"/>
    <w:rsid w:val="004E1C80"/>
    <w:rsid w:val="004E2CB7"/>
    <w:rsid w:val="004E2DF6"/>
    <w:rsid w:val="004E41A7"/>
    <w:rsid w:val="004E49EF"/>
    <w:rsid w:val="004E508D"/>
    <w:rsid w:val="004F0D29"/>
    <w:rsid w:val="004F257D"/>
    <w:rsid w:val="004F29D8"/>
    <w:rsid w:val="004F50EE"/>
    <w:rsid w:val="004F6866"/>
    <w:rsid w:val="004F68BF"/>
    <w:rsid w:val="00501994"/>
    <w:rsid w:val="00502F56"/>
    <w:rsid w:val="005043DB"/>
    <w:rsid w:val="005068E4"/>
    <w:rsid w:val="00507CCB"/>
    <w:rsid w:val="00512582"/>
    <w:rsid w:val="005160CB"/>
    <w:rsid w:val="00516755"/>
    <w:rsid w:val="00517385"/>
    <w:rsid w:val="00517B51"/>
    <w:rsid w:val="00517EF1"/>
    <w:rsid w:val="00520D95"/>
    <w:rsid w:val="00521425"/>
    <w:rsid w:val="00527E4F"/>
    <w:rsid w:val="00532406"/>
    <w:rsid w:val="005334A9"/>
    <w:rsid w:val="00534273"/>
    <w:rsid w:val="00535892"/>
    <w:rsid w:val="00535980"/>
    <w:rsid w:val="005366D7"/>
    <w:rsid w:val="00536817"/>
    <w:rsid w:val="00537C51"/>
    <w:rsid w:val="00541018"/>
    <w:rsid w:val="00541B61"/>
    <w:rsid w:val="005424D5"/>
    <w:rsid w:val="00542996"/>
    <w:rsid w:val="005432FC"/>
    <w:rsid w:val="0054473C"/>
    <w:rsid w:val="00547271"/>
    <w:rsid w:val="00550220"/>
    <w:rsid w:val="005512F2"/>
    <w:rsid w:val="00551AA0"/>
    <w:rsid w:val="0055207E"/>
    <w:rsid w:val="00552D57"/>
    <w:rsid w:val="00553536"/>
    <w:rsid w:val="00553AB2"/>
    <w:rsid w:val="00554DBA"/>
    <w:rsid w:val="00556757"/>
    <w:rsid w:val="00557659"/>
    <w:rsid w:val="005602F2"/>
    <w:rsid w:val="005610DA"/>
    <w:rsid w:val="00561876"/>
    <w:rsid w:val="00561D6E"/>
    <w:rsid w:val="00563633"/>
    <w:rsid w:val="00566ED7"/>
    <w:rsid w:val="005675C4"/>
    <w:rsid w:val="005713F5"/>
    <w:rsid w:val="005714C1"/>
    <w:rsid w:val="00571813"/>
    <w:rsid w:val="005746E1"/>
    <w:rsid w:val="0058038C"/>
    <w:rsid w:val="00580A32"/>
    <w:rsid w:val="00585C0A"/>
    <w:rsid w:val="00586B68"/>
    <w:rsid w:val="00586DAC"/>
    <w:rsid w:val="00586DD9"/>
    <w:rsid w:val="00591F6A"/>
    <w:rsid w:val="005932F3"/>
    <w:rsid w:val="0059401B"/>
    <w:rsid w:val="005942F6"/>
    <w:rsid w:val="005960D2"/>
    <w:rsid w:val="005A0F32"/>
    <w:rsid w:val="005A20A8"/>
    <w:rsid w:val="005A3288"/>
    <w:rsid w:val="005A4A90"/>
    <w:rsid w:val="005A514F"/>
    <w:rsid w:val="005A5363"/>
    <w:rsid w:val="005A7297"/>
    <w:rsid w:val="005B0232"/>
    <w:rsid w:val="005B1FC7"/>
    <w:rsid w:val="005B251B"/>
    <w:rsid w:val="005B3B66"/>
    <w:rsid w:val="005B5685"/>
    <w:rsid w:val="005B67C4"/>
    <w:rsid w:val="005B6DD8"/>
    <w:rsid w:val="005B78EE"/>
    <w:rsid w:val="005C1583"/>
    <w:rsid w:val="005C19FD"/>
    <w:rsid w:val="005C54F0"/>
    <w:rsid w:val="005C6A02"/>
    <w:rsid w:val="005C6D63"/>
    <w:rsid w:val="005D1F63"/>
    <w:rsid w:val="005D3899"/>
    <w:rsid w:val="005D6D94"/>
    <w:rsid w:val="005D6FE4"/>
    <w:rsid w:val="005E1960"/>
    <w:rsid w:val="005E1D91"/>
    <w:rsid w:val="005E2C34"/>
    <w:rsid w:val="005E3152"/>
    <w:rsid w:val="005E4581"/>
    <w:rsid w:val="005E534D"/>
    <w:rsid w:val="005E6EAF"/>
    <w:rsid w:val="005F0582"/>
    <w:rsid w:val="005F0778"/>
    <w:rsid w:val="005F088C"/>
    <w:rsid w:val="005F1E1E"/>
    <w:rsid w:val="005F2744"/>
    <w:rsid w:val="005F2E7D"/>
    <w:rsid w:val="005F3A08"/>
    <w:rsid w:val="005F4025"/>
    <w:rsid w:val="005F4127"/>
    <w:rsid w:val="005F4822"/>
    <w:rsid w:val="00600A54"/>
    <w:rsid w:val="00600B5B"/>
    <w:rsid w:val="00602F7B"/>
    <w:rsid w:val="00602FFD"/>
    <w:rsid w:val="00603199"/>
    <w:rsid w:val="00605751"/>
    <w:rsid w:val="00605E2B"/>
    <w:rsid w:val="00606568"/>
    <w:rsid w:val="00612398"/>
    <w:rsid w:val="0061417E"/>
    <w:rsid w:val="0061419A"/>
    <w:rsid w:val="00614FB9"/>
    <w:rsid w:val="006150FB"/>
    <w:rsid w:val="00616618"/>
    <w:rsid w:val="006173E8"/>
    <w:rsid w:val="00620222"/>
    <w:rsid w:val="0062075A"/>
    <w:rsid w:val="00621D5D"/>
    <w:rsid w:val="00623433"/>
    <w:rsid w:val="00623585"/>
    <w:rsid w:val="006246B1"/>
    <w:rsid w:val="006270D3"/>
    <w:rsid w:val="006316BB"/>
    <w:rsid w:val="006323CF"/>
    <w:rsid w:val="00635902"/>
    <w:rsid w:val="00636ECF"/>
    <w:rsid w:val="006371CD"/>
    <w:rsid w:val="00637910"/>
    <w:rsid w:val="00640D77"/>
    <w:rsid w:val="0064234A"/>
    <w:rsid w:val="0064526E"/>
    <w:rsid w:val="006461A5"/>
    <w:rsid w:val="0064687A"/>
    <w:rsid w:val="00646A03"/>
    <w:rsid w:val="00647FEC"/>
    <w:rsid w:val="00650046"/>
    <w:rsid w:val="00650BAC"/>
    <w:rsid w:val="00652260"/>
    <w:rsid w:val="00652281"/>
    <w:rsid w:val="00652450"/>
    <w:rsid w:val="00654DE9"/>
    <w:rsid w:val="006555F9"/>
    <w:rsid w:val="00655F34"/>
    <w:rsid w:val="00656CFA"/>
    <w:rsid w:val="00660761"/>
    <w:rsid w:val="006610E2"/>
    <w:rsid w:val="00661375"/>
    <w:rsid w:val="00661505"/>
    <w:rsid w:val="006635DB"/>
    <w:rsid w:val="006640E8"/>
    <w:rsid w:val="006648D1"/>
    <w:rsid w:val="00666738"/>
    <w:rsid w:val="006678E0"/>
    <w:rsid w:val="006714F3"/>
    <w:rsid w:val="0067260F"/>
    <w:rsid w:val="006765A0"/>
    <w:rsid w:val="006771E7"/>
    <w:rsid w:val="006809A7"/>
    <w:rsid w:val="00682D50"/>
    <w:rsid w:val="0068396B"/>
    <w:rsid w:val="00683FF3"/>
    <w:rsid w:val="006869DB"/>
    <w:rsid w:val="00686F21"/>
    <w:rsid w:val="00687CBD"/>
    <w:rsid w:val="00692AD7"/>
    <w:rsid w:val="00692EC2"/>
    <w:rsid w:val="00696C8A"/>
    <w:rsid w:val="0069713F"/>
    <w:rsid w:val="00697455"/>
    <w:rsid w:val="006A0162"/>
    <w:rsid w:val="006A0C11"/>
    <w:rsid w:val="006A1DAC"/>
    <w:rsid w:val="006A328C"/>
    <w:rsid w:val="006A50B7"/>
    <w:rsid w:val="006A5DB0"/>
    <w:rsid w:val="006B02F8"/>
    <w:rsid w:val="006B0826"/>
    <w:rsid w:val="006B0AC3"/>
    <w:rsid w:val="006B1DB1"/>
    <w:rsid w:val="006B40C2"/>
    <w:rsid w:val="006B64F3"/>
    <w:rsid w:val="006C080F"/>
    <w:rsid w:val="006C0DAC"/>
    <w:rsid w:val="006C7CE1"/>
    <w:rsid w:val="006D03D1"/>
    <w:rsid w:val="006D0602"/>
    <w:rsid w:val="006D129F"/>
    <w:rsid w:val="006D1FB5"/>
    <w:rsid w:val="006D4C90"/>
    <w:rsid w:val="006D4DA7"/>
    <w:rsid w:val="006D5098"/>
    <w:rsid w:val="006D54F2"/>
    <w:rsid w:val="006D5903"/>
    <w:rsid w:val="006D59DC"/>
    <w:rsid w:val="006D5E46"/>
    <w:rsid w:val="006E1B33"/>
    <w:rsid w:val="006E206E"/>
    <w:rsid w:val="006E270A"/>
    <w:rsid w:val="006E2AAD"/>
    <w:rsid w:val="006E3333"/>
    <w:rsid w:val="006E340E"/>
    <w:rsid w:val="006E363A"/>
    <w:rsid w:val="006E3CAB"/>
    <w:rsid w:val="006E4792"/>
    <w:rsid w:val="006E4CD4"/>
    <w:rsid w:val="006E62CB"/>
    <w:rsid w:val="006E64C7"/>
    <w:rsid w:val="006E75EA"/>
    <w:rsid w:val="006E7FBF"/>
    <w:rsid w:val="006F07CF"/>
    <w:rsid w:val="006F1261"/>
    <w:rsid w:val="006F24B9"/>
    <w:rsid w:val="006F265F"/>
    <w:rsid w:val="006F370B"/>
    <w:rsid w:val="006F4014"/>
    <w:rsid w:val="006F46BC"/>
    <w:rsid w:val="006F4DC1"/>
    <w:rsid w:val="006F6BA8"/>
    <w:rsid w:val="006F763E"/>
    <w:rsid w:val="007013D7"/>
    <w:rsid w:val="00704311"/>
    <w:rsid w:val="00705FF2"/>
    <w:rsid w:val="007071FE"/>
    <w:rsid w:val="00710815"/>
    <w:rsid w:val="007110AD"/>
    <w:rsid w:val="00711C88"/>
    <w:rsid w:val="0071246A"/>
    <w:rsid w:val="0071256F"/>
    <w:rsid w:val="00714BDB"/>
    <w:rsid w:val="00714C30"/>
    <w:rsid w:val="007156EA"/>
    <w:rsid w:val="00715A28"/>
    <w:rsid w:val="00715B0B"/>
    <w:rsid w:val="0071683A"/>
    <w:rsid w:val="00717534"/>
    <w:rsid w:val="0072117B"/>
    <w:rsid w:val="007223D9"/>
    <w:rsid w:val="00724C0A"/>
    <w:rsid w:val="00724EEF"/>
    <w:rsid w:val="007317FB"/>
    <w:rsid w:val="007318F0"/>
    <w:rsid w:val="00731F41"/>
    <w:rsid w:val="0073264B"/>
    <w:rsid w:val="007332DB"/>
    <w:rsid w:val="00733BD1"/>
    <w:rsid w:val="0073419A"/>
    <w:rsid w:val="00735ED1"/>
    <w:rsid w:val="00740147"/>
    <w:rsid w:val="007403F5"/>
    <w:rsid w:val="0074184E"/>
    <w:rsid w:val="00741B72"/>
    <w:rsid w:val="00742B5F"/>
    <w:rsid w:val="00743EA2"/>
    <w:rsid w:val="00744C48"/>
    <w:rsid w:val="00744F34"/>
    <w:rsid w:val="00745020"/>
    <w:rsid w:val="00745618"/>
    <w:rsid w:val="00746369"/>
    <w:rsid w:val="00747E83"/>
    <w:rsid w:val="007502E9"/>
    <w:rsid w:val="007514DC"/>
    <w:rsid w:val="007522B9"/>
    <w:rsid w:val="007531E7"/>
    <w:rsid w:val="00757751"/>
    <w:rsid w:val="007604E9"/>
    <w:rsid w:val="00761477"/>
    <w:rsid w:val="00762164"/>
    <w:rsid w:val="00762179"/>
    <w:rsid w:val="007641FC"/>
    <w:rsid w:val="007655B9"/>
    <w:rsid w:val="007658FA"/>
    <w:rsid w:val="00765A4A"/>
    <w:rsid w:val="00766A15"/>
    <w:rsid w:val="0076779A"/>
    <w:rsid w:val="0076785A"/>
    <w:rsid w:val="007732D6"/>
    <w:rsid w:val="0077371F"/>
    <w:rsid w:val="00773A94"/>
    <w:rsid w:val="0077475E"/>
    <w:rsid w:val="007751DA"/>
    <w:rsid w:val="007752D7"/>
    <w:rsid w:val="00777847"/>
    <w:rsid w:val="00782FF5"/>
    <w:rsid w:val="007833DC"/>
    <w:rsid w:val="00783CA0"/>
    <w:rsid w:val="00785084"/>
    <w:rsid w:val="00785A0C"/>
    <w:rsid w:val="00791DF1"/>
    <w:rsid w:val="00793112"/>
    <w:rsid w:val="00793690"/>
    <w:rsid w:val="007936A7"/>
    <w:rsid w:val="00794C8E"/>
    <w:rsid w:val="00795091"/>
    <w:rsid w:val="00795172"/>
    <w:rsid w:val="007A016F"/>
    <w:rsid w:val="007A184E"/>
    <w:rsid w:val="007A1930"/>
    <w:rsid w:val="007A24B5"/>
    <w:rsid w:val="007A450E"/>
    <w:rsid w:val="007A5184"/>
    <w:rsid w:val="007A5554"/>
    <w:rsid w:val="007A5701"/>
    <w:rsid w:val="007B01AE"/>
    <w:rsid w:val="007B0475"/>
    <w:rsid w:val="007B1F01"/>
    <w:rsid w:val="007B2DF1"/>
    <w:rsid w:val="007B2FCC"/>
    <w:rsid w:val="007B32A8"/>
    <w:rsid w:val="007B6766"/>
    <w:rsid w:val="007B6EC2"/>
    <w:rsid w:val="007B7B6F"/>
    <w:rsid w:val="007B7B87"/>
    <w:rsid w:val="007C0DB6"/>
    <w:rsid w:val="007C1869"/>
    <w:rsid w:val="007C4DA7"/>
    <w:rsid w:val="007C5927"/>
    <w:rsid w:val="007C6457"/>
    <w:rsid w:val="007D23AB"/>
    <w:rsid w:val="007D26A4"/>
    <w:rsid w:val="007D33AD"/>
    <w:rsid w:val="007D5A06"/>
    <w:rsid w:val="007D5FC6"/>
    <w:rsid w:val="007D6810"/>
    <w:rsid w:val="007D7538"/>
    <w:rsid w:val="007D7CEF"/>
    <w:rsid w:val="007E00A6"/>
    <w:rsid w:val="007E3EEE"/>
    <w:rsid w:val="007E4CC3"/>
    <w:rsid w:val="007E53A6"/>
    <w:rsid w:val="007E5C0E"/>
    <w:rsid w:val="007E649E"/>
    <w:rsid w:val="007F0743"/>
    <w:rsid w:val="007F147F"/>
    <w:rsid w:val="007F1968"/>
    <w:rsid w:val="007F26D1"/>
    <w:rsid w:val="007F2B7A"/>
    <w:rsid w:val="007F2FA0"/>
    <w:rsid w:val="007F3CEA"/>
    <w:rsid w:val="007F4E56"/>
    <w:rsid w:val="007F4F7D"/>
    <w:rsid w:val="007F60D7"/>
    <w:rsid w:val="007F7C37"/>
    <w:rsid w:val="008003AE"/>
    <w:rsid w:val="008020BC"/>
    <w:rsid w:val="00803AD5"/>
    <w:rsid w:val="0080430E"/>
    <w:rsid w:val="00805685"/>
    <w:rsid w:val="0080629F"/>
    <w:rsid w:val="00806342"/>
    <w:rsid w:val="00806EB4"/>
    <w:rsid w:val="00810BE8"/>
    <w:rsid w:val="00811165"/>
    <w:rsid w:val="008130A5"/>
    <w:rsid w:val="0081579D"/>
    <w:rsid w:val="008169AB"/>
    <w:rsid w:val="008217E4"/>
    <w:rsid w:val="0082222B"/>
    <w:rsid w:val="00822DB2"/>
    <w:rsid w:val="008231AA"/>
    <w:rsid w:val="00823FC7"/>
    <w:rsid w:val="008246E5"/>
    <w:rsid w:val="00824BF1"/>
    <w:rsid w:val="008263B6"/>
    <w:rsid w:val="00827607"/>
    <w:rsid w:val="008277F4"/>
    <w:rsid w:val="00830AA5"/>
    <w:rsid w:val="00831B13"/>
    <w:rsid w:val="0083309D"/>
    <w:rsid w:val="00833204"/>
    <w:rsid w:val="00833CF4"/>
    <w:rsid w:val="00833E91"/>
    <w:rsid w:val="00835C30"/>
    <w:rsid w:val="00837721"/>
    <w:rsid w:val="008415A8"/>
    <w:rsid w:val="0084295B"/>
    <w:rsid w:val="00843141"/>
    <w:rsid w:val="0084581D"/>
    <w:rsid w:val="008467C5"/>
    <w:rsid w:val="00847366"/>
    <w:rsid w:val="00850630"/>
    <w:rsid w:val="0085309F"/>
    <w:rsid w:val="00853164"/>
    <w:rsid w:val="00853203"/>
    <w:rsid w:val="008535CD"/>
    <w:rsid w:val="0085402F"/>
    <w:rsid w:val="008548AA"/>
    <w:rsid w:val="0085700A"/>
    <w:rsid w:val="0086008F"/>
    <w:rsid w:val="008600BB"/>
    <w:rsid w:val="008611D0"/>
    <w:rsid w:val="00862E1A"/>
    <w:rsid w:val="008630A9"/>
    <w:rsid w:val="00864F99"/>
    <w:rsid w:val="00865298"/>
    <w:rsid w:val="00866A18"/>
    <w:rsid w:val="00866CE9"/>
    <w:rsid w:val="008679AC"/>
    <w:rsid w:val="00871701"/>
    <w:rsid w:val="00871D2D"/>
    <w:rsid w:val="008727CC"/>
    <w:rsid w:val="0087448C"/>
    <w:rsid w:val="00874E4D"/>
    <w:rsid w:val="008762C3"/>
    <w:rsid w:val="00876325"/>
    <w:rsid w:val="00882739"/>
    <w:rsid w:val="008868D6"/>
    <w:rsid w:val="008874A1"/>
    <w:rsid w:val="00887DDD"/>
    <w:rsid w:val="00890A20"/>
    <w:rsid w:val="00892AD6"/>
    <w:rsid w:val="00892F03"/>
    <w:rsid w:val="0089317B"/>
    <w:rsid w:val="0089417D"/>
    <w:rsid w:val="00894189"/>
    <w:rsid w:val="008948C2"/>
    <w:rsid w:val="00894EAE"/>
    <w:rsid w:val="00895599"/>
    <w:rsid w:val="008A065C"/>
    <w:rsid w:val="008A17F3"/>
    <w:rsid w:val="008A1A0C"/>
    <w:rsid w:val="008A216A"/>
    <w:rsid w:val="008A2176"/>
    <w:rsid w:val="008A451D"/>
    <w:rsid w:val="008A464F"/>
    <w:rsid w:val="008A5969"/>
    <w:rsid w:val="008A6703"/>
    <w:rsid w:val="008A6E3B"/>
    <w:rsid w:val="008A7747"/>
    <w:rsid w:val="008B08A4"/>
    <w:rsid w:val="008B4DB5"/>
    <w:rsid w:val="008B614F"/>
    <w:rsid w:val="008B7AD8"/>
    <w:rsid w:val="008C273A"/>
    <w:rsid w:val="008C2C5F"/>
    <w:rsid w:val="008C32B2"/>
    <w:rsid w:val="008C4AA4"/>
    <w:rsid w:val="008C6676"/>
    <w:rsid w:val="008C71BA"/>
    <w:rsid w:val="008D18D2"/>
    <w:rsid w:val="008D2E03"/>
    <w:rsid w:val="008D35E8"/>
    <w:rsid w:val="008D5CCB"/>
    <w:rsid w:val="008E14C6"/>
    <w:rsid w:val="008E29E4"/>
    <w:rsid w:val="008E4B5B"/>
    <w:rsid w:val="008E5AC8"/>
    <w:rsid w:val="008E5CDC"/>
    <w:rsid w:val="008E75F7"/>
    <w:rsid w:val="008F2389"/>
    <w:rsid w:val="008F2907"/>
    <w:rsid w:val="008F41BC"/>
    <w:rsid w:val="008F503E"/>
    <w:rsid w:val="008F78E6"/>
    <w:rsid w:val="00901CA8"/>
    <w:rsid w:val="00903B38"/>
    <w:rsid w:val="0090401E"/>
    <w:rsid w:val="00904C46"/>
    <w:rsid w:val="00906C9D"/>
    <w:rsid w:val="0090729B"/>
    <w:rsid w:val="0091130F"/>
    <w:rsid w:val="0091219B"/>
    <w:rsid w:val="009124EA"/>
    <w:rsid w:val="00912B0A"/>
    <w:rsid w:val="00914472"/>
    <w:rsid w:val="00914855"/>
    <w:rsid w:val="009149D3"/>
    <w:rsid w:val="00914C06"/>
    <w:rsid w:val="0091647F"/>
    <w:rsid w:val="00920B5E"/>
    <w:rsid w:val="00922992"/>
    <w:rsid w:val="00922A4E"/>
    <w:rsid w:val="00922C1C"/>
    <w:rsid w:val="00923C83"/>
    <w:rsid w:val="00925AEE"/>
    <w:rsid w:val="0092754A"/>
    <w:rsid w:val="00930517"/>
    <w:rsid w:val="0093057B"/>
    <w:rsid w:val="009319CF"/>
    <w:rsid w:val="00932F5F"/>
    <w:rsid w:val="0093322E"/>
    <w:rsid w:val="00933312"/>
    <w:rsid w:val="00933943"/>
    <w:rsid w:val="00934650"/>
    <w:rsid w:val="00935ED8"/>
    <w:rsid w:val="00940133"/>
    <w:rsid w:val="009403AC"/>
    <w:rsid w:val="009425D1"/>
    <w:rsid w:val="00942723"/>
    <w:rsid w:val="00943988"/>
    <w:rsid w:val="009459F9"/>
    <w:rsid w:val="0094607D"/>
    <w:rsid w:val="00947A22"/>
    <w:rsid w:val="00947C7C"/>
    <w:rsid w:val="00950593"/>
    <w:rsid w:val="009513E8"/>
    <w:rsid w:val="009516C8"/>
    <w:rsid w:val="00952870"/>
    <w:rsid w:val="0095501C"/>
    <w:rsid w:val="00955669"/>
    <w:rsid w:val="00957461"/>
    <w:rsid w:val="009578C9"/>
    <w:rsid w:val="00957C1B"/>
    <w:rsid w:val="009606F6"/>
    <w:rsid w:val="00962E1E"/>
    <w:rsid w:val="00963807"/>
    <w:rsid w:val="00964494"/>
    <w:rsid w:val="0096506D"/>
    <w:rsid w:val="00965B78"/>
    <w:rsid w:val="009665AC"/>
    <w:rsid w:val="00966BC4"/>
    <w:rsid w:val="009674BE"/>
    <w:rsid w:val="00967576"/>
    <w:rsid w:val="00970182"/>
    <w:rsid w:val="009703A1"/>
    <w:rsid w:val="009716F8"/>
    <w:rsid w:val="0097463E"/>
    <w:rsid w:val="00974D5C"/>
    <w:rsid w:val="0097720A"/>
    <w:rsid w:val="0097799B"/>
    <w:rsid w:val="009818D7"/>
    <w:rsid w:val="00986959"/>
    <w:rsid w:val="00990A8B"/>
    <w:rsid w:val="00990B4B"/>
    <w:rsid w:val="0099139C"/>
    <w:rsid w:val="0099148A"/>
    <w:rsid w:val="00995361"/>
    <w:rsid w:val="00995AE6"/>
    <w:rsid w:val="00995B05"/>
    <w:rsid w:val="00995B28"/>
    <w:rsid w:val="0099667E"/>
    <w:rsid w:val="00996CA0"/>
    <w:rsid w:val="009A27A0"/>
    <w:rsid w:val="009A292B"/>
    <w:rsid w:val="009A3050"/>
    <w:rsid w:val="009A334F"/>
    <w:rsid w:val="009A38C9"/>
    <w:rsid w:val="009A4195"/>
    <w:rsid w:val="009A45E5"/>
    <w:rsid w:val="009A7C5B"/>
    <w:rsid w:val="009B13AE"/>
    <w:rsid w:val="009B1FCF"/>
    <w:rsid w:val="009B417C"/>
    <w:rsid w:val="009B4DAF"/>
    <w:rsid w:val="009B5328"/>
    <w:rsid w:val="009B6E74"/>
    <w:rsid w:val="009C102D"/>
    <w:rsid w:val="009C1C61"/>
    <w:rsid w:val="009C1EA6"/>
    <w:rsid w:val="009C227B"/>
    <w:rsid w:val="009C581F"/>
    <w:rsid w:val="009C7C13"/>
    <w:rsid w:val="009D1D09"/>
    <w:rsid w:val="009D1FFC"/>
    <w:rsid w:val="009D2089"/>
    <w:rsid w:val="009D29C1"/>
    <w:rsid w:val="009D314B"/>
    <w:rsid w:val="009D4639"/>
    <w:rsid w:val="009D4CBE"/>
    <w:rsid w:val="009E0805"/>
    <w:rsid w:val="009E0F66"/>
    <w:rsid w:val="009E17A4"/>
    <w:rsid w:val="009E21B3"/>
    <w:rsid w:val="009E3553"/>
    <w:rsid w:val="009E7304"/>
    <w:rsid w:val="009E77EB"/>
    <w:rsid w:val="009F27F4"/>
    <w:rsid w:val="009F3401"/>
    <w:rsid w:val="009F36CF"/>
    <w:rsid w:val="009F3743"/>
    <w:rsid w:val="009F5972"/>
    <w:rsid w:val="009F5C16"/>
    <w:rsid w:val="009F616A"/>
    <w:rsid w:val="00A006B7"/>
    <w:rsid w:val="00A01D06"/>
    <w:rsid w:val="00A0307F"/>
    <w:rsid w:val="00A03FE6"/>
    <w:rsid w:val="00A06716"/>
    <w:rsid w:val="00A12C19"/>
    <w:rsid w:val="00A12F5E"/>
    <w:rsid w:val="00A131FA"/>
    <w:rsid w:val="00A13407"/>
    <w:rsid w:val="00A14185"/>
    <w:rsid w:val="00A15545"/>
    <w:rsid w:val="00A15AF0"/>
    <w:rsid w:val="00A162D8"/>
    <w:rsid w:val="00A17B61"/>
    <w:rsid w:val="00A21947"/>
    <w:rsid w:val="00A22871"/>
    <w:rsid w:val="00A230EF"/>
    <w:rsid w:val="00A233DC"/>
    <w:rsid w:val="00A236FE"/>
    <w:rsid w:val="00A2382B"/>
    <w:rsid w:val="00A246D5"/>
    <w:rsid w:val="00A24987"/>
    <w:rsid w:val="00A25564"/>
    <w:rsid w:val="00A26785"/>
    <w:rsid w:val="00A2796D"/>
    <w:rsid w:val="00A31044"/>
    <w:rsid w:val="00A32C2B"/>
    <w:rsid w:val="00A3390A"/>
    <w:rsid w:val="00A427C7"/>
    <w:rsid w:val="00A44C06"/>
    <w:rsid w:val="00A45962"/>
    <w:rsid w:val="00A468EC"/>
    <w:rsid w:val="00A46C12"/>
    <w:rsid w:val="00A522DE"/>
    <w:rsid w:val="00A5267A"/>
    <w:rsid w:val="00A52917"/>
    <w:rsid w:val="00A52C83"/>
    <w:rsid w:val="00A54E6E"/>
    <w:rsid w:val="00A555B6"/>
    <w:rsid w:val="00A55611"/>
    <w:rsid w:val="00A55673"/>
    <w:rsid w:val="00A55731"/>
    <w:rsid w:val="00A56D81"/>
    <w:rsid w:val="00A57C6B"/>
    <w:rsid w:val="00A60513"/>
    <w:rsid w:val="00A60655"/>
    <w:rsid w:val="00A62EBA"/>
    <w:rsid w:val="00A64E90"/>
    <w:rsid w:val="00A67C72"/>
    <w:rsid w:val="00A67E25"/>
    <w:rsid w:val="00A76C9B"/>
    <w:rsid w:val="00A77021"/>
    <w:rsid w:val="00A8048D"/>
    <w:rsid w:val="00A856CB"/>
    <w:rsid w:val="00A86C93"/>
    <w:rsid w:val="00A904DB"/>
    <w:rsid w:val="00A9148D"/>
    <w:rsid w:val="00A91952"/>
    <w:rsid w:val="00A93D35"/>
    <w:rsid w:val="00A976FB"/>
    <w:rsid w:val="00AA5A30"/>
    <w:rsid w:val="00AA5BB7"/>
    <w:rsid w:val="00AB015D"/>
    <w:rsid w:val="00AB081F"/>
    <w:rsid w:val="00AB0B43"/>
    <w:rsid w:val="00AB0D4C"/>
    <w:rsid w:val="00AB2A2B"/>
    <w:rsid w:val="00AB2A3F"/>
    <w:rsid w:val="00AB3592"/>
    <w:rsid w:val="00AB4AC9"/>
    <w:rsid w:val="00AB5DD7"/>
    <w:rsid w:val="00AB67E8"/>
    <w:rsid w:val="00AC06F0"/>
    <w:rsid w:val="00AC2A8B"/>
    <w:rsid w:val="00AC4DEB"/>
    <w:rsid w:val="00AC5B49"/>
    <w:rsid w:val="00AC67B4"/>
    <w:rsid w:val="00AD0E17"/>
    <w:rsid w:val="00AD1882"/>
    <w:rsid w:val="00AD2A8B"/>
    <w:rsid w:val="00AD312B"/>
    <w:rsid w:val="00AD4875"/>
    <w:rsid w:val="00AD65E1"/>
    <w:rsid w:val="00AD692C"/>
    <w:rsid w:val="00AD7196"/>
    <w:rsid w:val="00AE0541"/>
    <w:rsid w:val="00AE06B1"/>
    <w:rsid w:val="00AE0B5B"/>
    <w:rsid w:val="00AE0E3C"/>
    <w:rsid w:val="00AE1C1B"/>
    <w:rsid w:val="00AE2613"/>
    <w:rsid w:val="00AE2C79"/>
    <w:rsid w:val="00AE4A52"/>
    <w:rsid w:val="00AE67EC"/>
    <w:rsid w:val="00AE68F1"/>
    <w:rsid w:val="00AE7FAD"/>
    <w:rsid w:val="00AF05BB"/>
    <w:rsid w:val="00AF1073"/>
    <w:rsid w:val="00AF3817"/>
    <w:rsid w:val="00AF5A38"/>
    <w:rsid w:val="00AF5EB4"/>
    <w:rsid w:val="00AF7A74"/>
    <w:rsid w:val="00B00AF7"/>
    <w:rsid w:val="00B01764"/>
    <w:rsid w:val="00B01C12"/>
    <w:rsid w:val="00B02E0C"/>
    <w:rsid w:val="00B03BED"/>
    <w:rsid w:val="00B03DEE"/>
    <w:rsid w:val="00B0497E"/>
    <w:rsid w:val="00B06EAC"/>
    <w:rsid w:val="00B075A0"/>
    <w:rsid w:val="00B10F21"/>
    <w:rsid w:val="00B1361C"/>
    <w:rsid w:val="00B13AB8"/>
    <w:rsid w:val="00B15786"/>
    <w:rsid w:val="00B15CA1"/>
    <w:rsid w:val="00B15F5B"/>
    <w:rsid w:val="00B2121A"/>
    <w:rsid w:val="00B2212A"/>
    <w:rsid w:val="00B22470"/>
    <w:rsid w:val="00B233A6"/>
    <w:rsid w:val="00B25073"/>
    <w:rsid w:val="00B2607A"/>
    <w:rsid w:val="00B2670F"/>
    <w:rsid w:val="00B27DB2"/>
    <w:rsid w:val="00B32239"/>
    <w:rsid w:val="00B4008D"/>
    <w:rsid w:val="00B4053A"/>
    <w:rsid w:val="00B4166B"/>
    <w:rsid w:val="00B42C84"/>
    <w:rsid w:val="00B43EA5"/>
    <w:rsid w:val="00B44FE0"/>
    <w:rsid w:val="00B46262"/>
    <w:rsid w:val="00B47865"/>
    <w:rsid w:val="00B504B9"/>
    <w:rsid w:val="00B531C7"/>
    <w:rsid w:val="00B54909"/>
    <w:rsid w:val="00B54BE7"/>
    <w:rsid w:val="00B54F65"/>
    <w:rsid w:val="00B55C88"/>
    <w:rsid w:val="00B56734"/>
    <w:rsid w:val="00B56E46"/>
    <w:rsid w:val="00B578BF"/>
    <w:rsid w:val="00B60790"/>
    <w:rsid w:val="00B612B9"/>
    <w:rsid w:val="00B6245A"/>
    <w:rsid w:val="00B715EA"/>
    <w:rsid w:val="00B718C8"/>
    <w:rsid w:val="00B71FF0"/>
    <w:rsid w:val="00B735BD"/>
    <w:rsid w:val="00B73726"/>
    <w:rsid w:val="00B745E8"/>
    <w:rsid w:val="00B759FC"/>
    <w:rsid w:val="00B76C33"/>
    <w:rsid w:val="00B802B5"/>
    <w:rsid w:val="00B80423"/>
    <w:rsid w:val="00B8270E"/>
    <w:rsid w:val="00B82CF0"/>
    <w:rsid w:val="00B82F50"/>
    <w:rsid w:val="00B837BF"/>
    <w:rsid w:val="00B83DCA"/>
    <w:rsid w:val="00B8474F"/>
    <w:rsid w:val="00B847E1"/>
    <w:rsid w:val="00B85D72"/>
    <w:rsid w:val="00B90A15"/>
    <w:rsid w:val="00B914EC"/>
    <w:rsid w:val="00B92B36"/>
    <w:rsid w:val="00B92E5B"/>
    <w:rsid w:val="00B9440E"/>
    <w:rsid w:val="00B958B4"/>
    <w:rsid w:val="00B95ABC"/>
    <w:rsid w:val="00B96997"/>
    <w:rsid w:val="00B96CA6"/>
    <w:rsid w:val="00BA0905"/>
    <w:rsid w:val="00BA0CDB"/>
    <w:rsid w:val="00BA23AF"/>
    <w:rsid w:val="00BA2834"/>
    <w:rsid w:val="00BA5125"/>
    <w:rsid w:val="00BA5218"/>
    <w:rsid w:val="00BA55A7"/>
    <w:rsid w:val="00BB01FA"/>
    <w:rsid w:val="00BB035D"/>
    <w:rsid w:val="00BB067D"/>
    <w:rsid w:val="00BB0CEF"/>
    <w:rsid w:val="00BB1F55"/>
    <w:rsid w:val="00BB2850"/>
    <w:rsid w:val="00BB387D"/>
    <w:rsid w:val="00BB3C09"/>
    <w:rsid w:val="00BB483D"/>
    <w:rsid w:val="00BB71EB"/>
    <w:rsid w:val="00BC0649"/>
    <w:rsid w:val="00BC2491"/>
    <w:rsid w:val="00BC33E9"/>
    <w:rsid w:val="00BC54E7"/>
    <w:rsid w:val="00BC6D12"/>
    <w:rsid w:val="00BC7266"/>
    <w:rsid w:val="00BD01EA"/>
    <w:rsid w:val="00BD0ADA"/>
    <w:rsid w:val="00BD134F"/>
    <w:rsid w:val="00BD1AC6"/>
    <w:rsid w:val="00BD2E67"/>
    <w:rsid w:val="00BD33C0"/>
    <w:rsid w:val="00BD3EEB"/>
    <w:rsid w:val="00BD3F32"/>
    <w:rsid w:val="00BD47A1"/>
    <w:rsid w:val="00BD4C22"/>
    <w:rsid w:val="00BD7DC7"/>
    <w:rsid w:val="00BE0CB3"/>
    <w:rsid w:val="00BE0F1E"/>
    <w:rsid w:val="00BE46A9"/>
    <w:rsid w:val="00BE49A7"/>
    <w:rsid w:val="00BE5255"/>
    <w:rsid w:val="00BE53A3"/>
    <w:rsid w:val="00BE59E1"/>
    <w:rsid w:val="00BF200D"/>
    <w:rsid w:val="00BF25D3"/>
    <w:rsid w:val="00BF39F0"/>
    <w:rsid w:val="00BF431A"/>
    <w:rsid w:val="00BF4648"/>
    <w:rsid w:val="00BF51E4"/>
    <w:rsid w:val="00C00553"/>
    <w:rsid w:val="00C01311"/>
    <w:rsid w:val="00C01652"/>
    <w:rsid w:val="00C054A6"/>
    <w:rsid w:val="00C07B70"/>
    <w:rsid w:val="00C10B8E"/>
    <w:rsid w:val="00C158E8"/>
    <w:rsid w:val="00C15919"/>
    <w:rsid w:val="00C16863"/>
    <w:rsid w:val="00C20365"/>
    <w:rsid w:val="00C20C27"/>
    <w:rsid w:val="00C22D03"/>
    <w:rsid w:val="00C2309B"/>
    <w:rsid w:val="00C25C2C"/>
    <w:rsid w:val="00C269B7"/>
    <w:rsid w:val="00C3118E"/>
    <w:rsid w:val="00C35A1E"/>
    <w:rsid w:val="00C36A94"/>
    <w:rsid w:val="00C37478"/>
    <w:rsid w:val="00C4000A"/>
    <w:rsid w:val="00C40971"/>
    <w:rsid w:val="00C40C40"/>
    <w:rsid w:val="00C4327A"/>
    <w:rsid w:val="00C44573"/>
    <w:rsid w:val="00C44E52"/>
    <w:rsid w:val="00C45897"/>
    <w:rsid w:val="00C479EC"/>
    <w:rsid w:val="00C47CF4"/>
    <w:rsid w:val="00C507BE"/>
    <w:rsid w:val="00C50E9A"/>
    <w:rsid w:val="00C51C07"/>
    <w:rsid w:val="00C528CC"/>
    <w:rsid w:val="00C52B92"/>
    <w:rsid w:val="00C572FF"/>
    <w:rsid w:val="00C60DCB"/>
    <w:rsid w:val="00C61C47"/>
    <w:rsid w:val="00C6361A"/>
    <w:rsid w:val="00C64277"/>
    <w:rsid w:val="00C664BD"/>
    <w:rsid w:val="00C710D8"/>
    <w:rsid w:val="00C71928"/>
    <w:rsid w:val="00C71B1A"/>
    <w:rsid w:val="00C71C35"/>
    <w:rsid w:val="00C71F57"/>
    <w:rsid w:val="00C73D57"/>
    <w:rsid w:val="00C75120"/>
    <w:rsid w:val="00C76E10"/>
    <w:rsid w:val="00C772F9"/>
    <w:rsid w:val="00C77616"/>
    <w:rsid w:val="00C83964"/>
    <w:rsid w:val="00C83C52"/>
    <w:rsid w:val="00C84FD2"/>
    <w:rsid w:val="00C851EC"/>
    <w:rsid w:val="00C85D7E"/>
    <w:rsid w:val="00C862BF"/>
    <w:rsid w:val="00C871B3"/>
    <w:rsid w:val="00C906F9"/>
    <w:rsid w:val="00C91F35"/>
    <w:rsid w:val="00C94D87"/>
    <w:rsid w:val="00C95346"/>
    <w:rsid w:val="00C976E1"/>
    <w:rsid w:val="00CA4086"/>
    <w:rsid w:val="00CA7167"/>
    <w:rsid w:val="00CB0BA7"/>
    <w:rsid w:val="00CB1814"/>
    <w:rsid w:val="00CB273A"/>
    <w:rsid w:val="00CB4AAC"/>
    <w:rsid w:val="00CB58EE"/>
    <w:rsid w:val="00CB65EF"/>
    <w:rsid w:val="00CB6BD6"/>
    <w:rsid w:val="00CB7537"/>
    <w:rsid w:val="00CC18F6"/>
    <w:rsid w:val="00CC1ED9"/>
    <w:rsid w:val="00CC3095"/>
    <w:rsid w:val="00CC33E8"/>
    <w:rsid w:val="00CC345E"/>
    <w:rsid w:val="00CC3923"/>
    <w:rsid w:val="00CC396E"/>
    <w:rsid w:val="00CC5CD5"/>
    <w:rsid w:val="00CC780D"/>
    <w:rsid w:val="00CC78D0"/>
    <w:rsid w:val="00CD0282"/>
    <w:rsid w:val="00CD07CB"/>
    <w:rsid w:val="00CD1B67"/>
    <w:rsid w:val="00CD1BF8"/>
    <w:rsid w:val="00CD224B"/>
    <w:rsid w:val="00CD62A2"/>
    <w:rsid w:val="00CD68C4"/>
    <w:rsid w:val="00CD6E84"/>
    <w:rsid w:val="00CE3BEF"/>
    <w:rsid w:val="00CE4BF9"/>
    <w:rsid w:val="00CE4EF1"/>
    <w:rsid w:val="00CE6628"/>
    <w:rsid w:val="00CE6BA7"/>
    <w:rsid w:val="00CE7C59"/>
    <w:rsid w:val="00CF05A8"/>
    <w:rsid w:val="00CF0AB3"/>
    <w:rsid w:val="00CF1394"/>
    <w:rsid w:val="00CF4E4F"/>
    <w:rsid w:val="00CF745C"/>
    <w:rsid w:val="00D016C1"/>
    <w:rsid w:val="00D027A8"/>
    <w:rsid w:val="00D03CE8"/>
    <w:rsid w:val="00D05BDA"/>
    <w:rsid w:val="00D107F5"/>
    <w:rsid w:val="00D13DCD"/>
    <w:rsid w:val="00D143EF"/>
    <w:rsid w:val="00D14C62"/>
    <w:rsid w:val="00D156E5"/>
    <w:rsid w:val="00D1691C"/>
    <w:rsid w:val="00D171CC"/>
    <w:rsid w:val="00D17888"/>
    <w:rsid w:val="00D2136E"/>
    <w:rsid w:val="00D22119"/>
    <w:rsid w:val="00D27B10"/>
    <w:rsid w:val="00D27F29"/>
    <w:rsid w:val="00D30575"/>
    <w:rsid w:val="00D30F76"/>
    <w:rsid w:val="00D3155B"/>
    <w:rsid w:val="00D4062E"/>
    <w:rsid w:val="00D412CD"/>
    <w:rsid w:val="00D41357"/>
    <w:rsid w:val="00D42DEF"/>
    <w:rsid w:val="00D43530"/>
    <w:rsid w:val="00D44AA8"/>
    <w:rsid w:val="00D452EC"/>
    <w:rsid w:val="00D474D7"/>
    <w:rsid w:val="00D5056B"/>
    <w:rsid w:val="00D5083A"/>
    <w:rsid w:val="00D514EF"/>
    <w:rsid w:val="00D53BB7"/>
    <w:rsid w:val="00D53BB8"/>
    <w:rsid w:val="00D54CB9"/>
    <w:rsid w:val="00D5564F"/>
    <w:rsid w:val="00D559A7"/>
    <w:rsid w:val="00D56A8E"/>
    <w:rsid w:val="00D6081D"/>
    <w:rsid w:val="00D60921"/>
    <w:rsid w:val="00D64256"/>
    <w:rsid w:val="00D64E92"/>
    <w:rsid w:val="00D66140"/>
    <w:rsid w:val="00D67094"/>
    <w:rsid w:val="00D710FC"/>
    <w:rsid w:val="00D725EE"/>
    <w:rsid w:val="00D74FE0"/>
    <w:rsid w:val="00D752D0"/>
    <w:rsid w:val="00D765C8"/>
    <w:rsid w:val="00D774A4"/>
    <w:rsid w:val="00D8452A"/>
    <w:rsid w:val="00D91A20"/>
    <w:rsid w:val="00D948B0"/>
    <w:rsid w:val="00D95581"/>
    <w:rsid w:val="00D969AF"/>
    <w:rsid w:val="00D9781C"/>
    <w:rsid w:val="00D97C07"/>
    <w:rsid w:val="00DA031B"/>
    <w:rsid w:val="00DA0426"/>
    <w:rsid w:val="00DA4F93"/>
    <w:rsid w:val="00DA5227"/>
    <w:rsid w:val="00DA56DD"/>
    <w:rsid w:val="00DA5D0D"/>
    <w:rsid w:val="00DA60BD"/>
    <w:rsid w:val="00DA66A4"/>
    <w:rsid w:val="00DA72E6"/>
    <w:rsid w:val="00DB2FB3"/>
    <w:rsid w:val="00DB354A"/>
    <w:rsid w:val="00DB3AA5"/>
    <w:rsid w:val="00DB5D32"/>
    <w:rsid w:val="00DB5F59"/>
    <w:rsid w:val="00DB698E"/>
    <w:rsid w:val="00DB74F2"/>
    <w:rsid w:val="00DC04DE"/>
    <w:rsid w:val="00DC3C3C"/>
    <w:rsid w:val="00DC5EBD"/>
    <w:rsid w:val="00DC5FA1"/>
    <w:rsid w:val="00DC7CCF"/>
    <w:rsid w:val="00DD1725"/>
    <w:rsid w:val="00DD191F"/>
    <w:rsid w:val="00DD2B7C"/>
    <w:rsid w:val="00DD31B5"/>
    <w:rsid w:val="00DD3D8B"/>
    <w:rsid w:val="00DD49D0"/>
    <w:rsid w:val="00DD4F62"/>
    <w:rsid w:val="00DD55F8"/>
    <w:rsid w:val="00DD5AFE"/>
    <w:rsid w:val="00DD6C54"/>
    <w:rsid w:val="00DD7738"/>
    <w:rsid w:val="00DE1CA5"/>
    <w:rsid w:val="00DE696D"/>
    <w:rsid w:val="00DF39ED"/>
    <w:rsid w:val="00E00338"/>
    <w:rsid w:val="00E014B7"/>
    <w:rsid w:val="00E0191C"/>
    <w:rsid w:val="00E01AF2"/>
    <w:rsid w:val="00E01FFD"/>
    <w:rsid w:val="00E022C6"/>
    <w:rsid w:val="00E03052"/>
    <w:rsid w:val="00E069C2"/>
    <w:rsid w:val="00E06C4C"/>
    <w:rsid w:val="00E07552"/>
    <w:rsid w:val="00E07C1F"/>
    <w:rsid w:val="00E11756"/>
    <w:rsid w:val="00E15286"/>
    <w:rsid w:val="00E15F76"/>
    <w:rsid w:val="00E16A5D"/>
    <w:rsid w:val="00E17411"/>
    <w:rsid w:val="00E21025"/>
    <w:rsid w:val="00E26A29"/>
    <w:rsid w:val="00E30AB2"/>
    <w:rsid w:val="00E3344C"/>
    <w:rsid w:val="00E33671"/>
    <w:rsid w:val="00E339A1"/>
    <w:rsid w:val="00E34040"/>
    <w:rsid w:val="00E3635F"/>
    <w:rsid w:val="00E41286"/>
    <w:rsid w:val="00E420B4"/>
    <w:rsid w:val="00E4257A"/>
    <w:rsid w:val="00E42AB5"/>
    <w:rsid w:val="00E42D0A"/>
    <w:rsid w:val="00E45DDD"/>
    <w:rsid w:val="00E4712F"/>
    <w:rsid w:val="00E47409"/>
    <w:rsid w:val="00E4769A"/>
    <w:rsid w:val="00E501B1"/>
    <w:rsid w:val="00E51086"/>
    <w:rsid w:val="00E52CA9"/>
    <w:rsid w:val="00E57DE1"/>
    <w:rsid w:val="00E65FB5"/>
    <w:rsid w:val="00E6673F"/>
    <w:rsid w:val="00E66A76"/>
    <w:rsid w:val="00E66DAB"/>
    <w:rsid w:val="00E67BAA"/>
    <w:rsid w:val="00E70662"/>
    <w:rsid w:val="00E707F1"/>
    <w:rsid w:val="00E710D5"/>
    <w:rsid w:val="00E71FB5"/>
    <w:rsid w:val="00E72767"/>
    <w:rsid w:val="00E74759"/>
    <w:rsid w:val="00E74D19"/>
    <w:rsid w:val="00E75009"/>
    <w:rsid w:val="00E751AF"/>
    <w:rsid w:val="00E752BB"/>
    <w:rsid w:val="00E77CCF"/>
    <w:rsid w:val="00E83411"/>
    <w:rsid w:val="00E86496"/>
    <w:rsid w:val="00E86601"/>
    <w:rsid w:val="00E87AB1"/>
    <w:rsid w:val="00E87F48"/>
    <w:rsid w:val="00E87FDC"/>
    <w:rsid w:val="00E906A2"/>
    <w:rsid w:val="00E92759"/>
    <w:rsid w:val="00E93D63"/>
    <w:rsid w:val="00E93FD7"/>
    <w:rsid w:val="00E9468E"/>
    <w:rsid w:val="00EA022C"/>
    <w:rsid w:val="00EA38F2"/>
    <w:rsid w:val="00EA4E89"/>
    <w:rsid w:val="00EA5E21"/>
    <w:rsid w:val="00EB08CA"/>
    <w:rsid w:val="00EB26EE"/>
    <w:rsid w:val="00EB35DB"/>
    <w:rsid w:val="00EB3BC3"/>
    <w:rsid w:val="00EB4348"/>
    <w:rsid w:val="00EB6068"/>
    <w:rsid w:val="00EC067C"/>
    <w:rsid w:val="00EC0D39"/>
    <w:rsid w:val="00EC1EB9"/>
    <w:rsid w:val="00EC24E6"/>
    <w:rsid w:val="00EC4D4A"/>
    <w:rsid w:val="00EC6781"/>
    <w:rsid w:val="00EC7926"/>
    <w:rsid w:val="00ED14E9"/>
    <w:rsid w:val="00ED16CD"/>
    <w:rsid w:val="00ED31A6"/>
    <w:rsid w:val="00ED4358"/>
    <w:rsid w:val="00ED4536"/>
    <w:rsid w:val="00ED552A"/>
    <w:rsid w:val="00ED59DB"/>
    <w:rsid w:val="00ED67FB"/>
    <w:rsid w:val="00EE3656"/>
    <w:rsid w:val="00EE3814"/>
    <w:rsid w:val="00EE3B00"/>
    <w:rsid w:val="00EE4ECA"/>
    <w:rsid w:val="00EE581B"/>
    <w:rsid w:val="00EE5867"/>
    <w:rsid w:val="00EE5D74"/>
    <w:rsid w:val="00EE64E6"/>
    <w:rsid w:val="00EE6C2C"/>
    <w:rsid w:val="00EE6D01"/>
    <w:rsid w:val="00EF3556"/>
    <w:rsid w:val="00EF4F2C"/>
    <w:rsid w:val="00EF6388"/>
    <w:rsid w:val="00EF63C8"/>
    <w:rsid w:val="00EF7D52"/>
    <w:rsid w:val="00F01442"/>
    <w:rsid w:val="00F018BC"/>
    <w:rsid w:val="00F01E32"/>
    <w:rsid w:val="00F03074"/>
    <w:rsid w:val="00F05E43"/>
    <w:rsid w:val="00F11F70"/>
    <w:rsid w:val="00F1270E"/>
    <w:rsid w:val="00F1364A"/>
    <w:rsid w:val="00F14F20"/>
    <w:rsid w:val="00F15B4C"/>
    <w:rsid w:val="00F1612B"/>
    <w:rsid w:val="00F23978"/>
    <w:rsid w:val="00F249BF"/>
    <w:rsid w:val="00F24FAD"/>
    <w:rsid w:val="00F25852"/>
    <w:rsid w:val="00F2710E"/>
    <w:rsid w:val="00F27E85"/>
    <w:rsid w:val="00F300FD"/>
    <w:rsid w:val="00F31F16"/>
    <w:rsid w:val="00F32D16"/>
    <w:rsid w:val="00F33C40"/>
    <w:rsid w:val="00F33EB3"/>
    <w:rsid w:val="00F359B9"/>
    <w:rsid w:val="00F35D8A"/>
    <w:rsid w:val="00F37795"/>
    <w:rsid w:val="00F377D0"/>
    <w:rsid w:val="00F40138"/>
    <w:rsid w:val="00F4074E"/>
    <w:rsid w:val="00F41454"/>
    <w:rsid w:val="00F43362"/>
    <w:rsid w:val="00F47287"/>
    <w:rsid w:val="00F47CCF"/>
    <w:rsid w:val="00F5091F"/>
    <w:rsid w:val="00F50BDC"/>
    <w:rsid w:val="00F54266"/>
    <w:rsid w:val="00F554F1"/>
    <w:rsid w:val="00F56643"/>
    <w:rsid w:val="00F5726B"/>
    <w:rsid w:val="00F575BE"/>
    <w:rsid w:val="00F57A3E"/>
    <w:rsid w:val="00F57D8D"/>
    <w:rsid w:val="00F612A3"/>
    <w:rsid w:val="00F63742"/>
    <w:rsid w:val="00F63963"/>
    <w:rsid w:val="00F652CB"/>
    <w:rsid w:val="00F655D1"/>
    <w:rsid w:val="00F657E3"/>
    <w:rsid w:val="00F65942"/>
    <w:rsid w:val="00F7136B"/>
    <w:rsid w:val="00F716F0"/>
    <w:rsid w:val="00F724A4"/>
    <w:rsid w:val="00F747D2"/>
    <w:rsid w:val="00F75563"/>
    <w:rsid w:val="00F818A7"/>
    <w:rsid w:val="00F83070"/>
    <w:rsid w:val="00F84E97"/>
    <w:rsid w:val="00F8612A"/>
    <w:rsid w:val="00F86308"/>
    <w:rsid w:val="00F8699F"/>
    <w:rsid w:val="00F901CE"/>
    <w:rsid w:val="00F934E8"/>
    <w:rsid w:val="00F94691"/>
    <w:rsid w:val="00F947B4"/>
    <w:rsid w:val="00F96E18"/>
    <w:rsid w:val="00FA0F1F"/>
    <w:rsid w:val="00FA291B"/>
    <w:rsid w:val="00FA3007"/>
    <w:rsid w:val="00FA3AF8"/>
    <w:rsid w:val="00FA55BA"/>
    <w:rsid w:val="00FA579A"/>
    <w:rsid w:val="00FA7FAD"/>
    <w:rsid w:val="00FB1118"/>
    <w:rsid w:val="00FB18A0"/>
    <w:rsid w:val="00FB38F3"/>
    <w:rsid w:val="00FB6B0F"/>
    <w:rsid w:val="00FB74D2"/>
    <w:rsid w:val="00FB7C4A"/>
    <w:rsid w:val="00FB7CCD"/>
    <w:rsid w:val="00FC00EB"/>
    <w:rsid w:val="00FC09A7"/>
    <w:rsid w:val="00FC2261"/>
    <w:rsid w:val="00FC5315"/>
    <w:rsid w:val="00FC5693"/>
    <w:rsid w:val="00FC65DF"/>
    <w:rsid w:val="00FC6B6F"/>
    <w:rsid w:val="00FC6D0E"/>
    <w:rsid w:val="00FD0BBE"/>
    <w:rsid w:val="00FD17FF"/>
    <w:rsid w:val="00FD397A"/>
    <w:rsid w:val="00FD6485"/>
    <w:rsid w:val="00FD664B"/>
    <w:rsid w:val="00FD74C7"/>
    <w:rsid w:val="00FE09D5"/>
    <w:rsid w:val="00FE0CBB"/>
    <w:rsid w:val="00FE1D74"/>
    <w:rsid w:val="00FE275C"/>
    <w:rsid w:val="00FE3384"/>
    <w:rsid w:val="00FE46FF"/>
    <w:rsid w:val="00FE4E90"/>
    <w:rsid w:val="00FE62DF"/>
    <w:rsid w:val="00FE6C7E"/>
    <w:rsid w:val="00FE7491"/>
    <w:rsid w:val="00FE765B"/>
    <w:rsid w:val="00FF012B"/>
    <w:rsid w:val="00FF38ED"/>
    <w:rsid w:val="00FF39C1"/>
    <w:rsid w:val="00FF71DA"/>
    <w:rsid w:val="00FF7AE0"/>
    <w:rsid w:val="00FF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17505"/>
    <o:shapelayout v:ext="edit">
      <o:idmap v:ext="edit" data="1"/>
    </o:shapelayout>
  </w:shapeDefaults>
  <w:decimalSymbol w:val=","/>
  <w:listSeparator w:val=","/>
  <w14:docId w14:val="587EEE74"/>
  <w15:docId w15:val="{D397A0D1-FAB7-4E9C-8729-939D21F2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409"/>
    <w:pPr>
      <w:spacing w:after="0" w:line="240" w:lineRule="atLeast"/>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uiPriority w:val="9"/>
    <w:qFormat/>
    <w:rsid w:val="002B1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D07CB"/>
    <w:pPr>
      <w:spacing w:before="100" w:beforeAutospacing="1" w:after="100" w:afterAutospacing="1" w:line="240" w:lineRule="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935ED8"/>
    <w:pPr>
      <w:ind w:left="5103" w:right="-567"/>
    </w:pPr>
  </w:style>
  <w:style w:type="character" w:customStyle="1" w:styleId="DateChar">
    <w:name w:val="Date Char"/>
    <w:basedOn w:val="DefaultParagraphFont"/>
    <w:link w:val="Date"/>
    <w:rsid w:val="00935ED8"/>
    <w:rPr>
      <w:rFonts w:ascii="Times New Roman" w:eastAsia="Times New Roman" w:hAnsi="Times New Roman" w:cs="Times New Roman"/>
      <w:sz w:val="24"/>
      <w:szCs w:val="20"/>
      <w:lang w:val="fr-FR" w:eastAsia="en-GB"/>
    </w:rPr>
  </w:style>
  <w:style w:type="paragraph" w:styleId="Footer">
    <w:name w:val="footer"/>
    <w:basedOn w:val="Normal"/>
    <w:link w:val="FooterChar"/>
    <w:uiPriority w:val="99"/>
    <w:rsid w:val="00935ED8"/>
    <w:pPr>
      <w:ind w:right="-567"/>
    </w:pPr>
    <w:rPr>
      <w:rFonts w:ascii="Arial" w:hAnsi="Arial"/>
      <w:sz w:val="16"/>
    </w:rPr>
  </w:style>
  <w:style w:type="character" w:customStyle="1" w:styleId="FooterChar">
    <w:name w:val="Footer Char"/>
    <w:basedOn w:val="DefaultParagraphFont"/>
    <w:link w:val="Footer"/>
    <w:uiPriority w:val="99"/>
    <w:rsid w:val="00935ED8"/>
    <w:rPr>
      <w:rFonts w:ascii="Arial" w:eastAsia="Times New Roman" w:hAnsi="Arial" w:cs="Times New Roman"/>
      <w:sz w:val="16"/>
      <w:szCs w:val="20"/>
      <w:lang w:val="fr-FR" w:eastAsia="en-GB"/>
    </w:rPr>
  </w:style>
  <w:style w:type="paragraph" w:customStyle="1" w:styleId="ZCom">
    <w:name w:val="Z_Com"/>
    <w:basedOn w:val="Normal"/>
    <w:next w:val="ZDGName"/>
    <w:uiPriority w:val="2"/>
    <w:rsid w:val="00935ED8"/>
    <w:pPr>
      <w:widowControl w:val="0"/>
      <w:ind w:right="85"/>
    </w:pPr>
    <w:rPr>
      <w:rFonts w:ascii="Arial" w:hAnsi="Arial"/>
      <w:snapToGrid w:val="0"/>
      <w:lang w:eastAsia="en-US"/>
    </w:rPr>
  </w:style>
  <w:style w:type="paragraph" w:customStyle="1" w:styleId="ZDGName">
    <w:name w:val="Z_DGName"/>
    <w:basedOn w:val="Normal"/>
    <w:uiPriority w:val="2"/>
    <w:rsid w:val="00935ED8"/>
    <w:pPr>
      <w:widowControl w:val="0"/>
      <w:ind w:right="85"/>
    </w:pPr>
    <w:rPr>
      <w:rFonts w:ascii="Arial" w:hAnsi="Arial"/>
      <w:snapToGrid w:val="0"/>
      <w:sz w:val="16"/>
      <w:lang w:eastAsia="en-US"/>
    </w:rPr>
  </w:style>
  <w:style w:type="character" w:customStyle="1" w:styleId="contents">
    <w:name w:val="contents"/>
    <w:rsid w:val="00935ED8"/>
  </w:style>
  <w:style w:type="paragraph" w:styleId="NoSpacing">
    <w:name w:val="No Spacing"/>
    <w:link w:val="NoSpacingChar"/>
    <w:uiPriority w:val="1"/>
    <w:qFormat/>
    <w:rsid w:val="00935ED8"/>
    <w:pPr>
      <w:spacing w:after="0" w:line="240" w:lineRule="auto"/>
    </w:pPr>
    <w:rPr>
      <w:rFonts w:ascii="Times New Roman" w:eastAsia="Times New Roman" w:hAnsi="Times New Roman" w:cs="Times New Roman"/>
      <w:sz w:val="24"/>
      <w:szCs w:val="20"/>
      <w:lang w:eastAsia="en-GB"/>
    </w:rPr>
  </w:style>
  <w:style w:type="paragraph" w:customStyle="1" w:styleId="Default">
    <w:name w:val="Default"/>
    <w:rsid w:val="00935ED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SpacingChar">
    <w:name w:val="No Spacing Char"/>
    <w:link w:val="NoSpacing"/>
    <w:uiPriority w:val="1"/>
    <w:locked/>
    <w:rsid w:val="00935ED8"/>
    <w:rPr>
      <w:rFonts w:ascii="Times New Roman" w:eastAsia="Times New Roman" w:hAnsi="Times New Roman" w:cs="Times New Roman"/>
      <w:sz w:val="24"/>
      <w:szCs w:val="20"/>
      <w:lang w:val="fr-FR" w:eastAsia="en-GB"/>
    </w:rPr>
  </w:style>
  <w:style w:type="paragraph" w:styleId="BalloonText">
    <w:name w:val="Balloon Text"/>
    <w:basedOn w:val="Normal"/>
    <w:link w:val="BalloonTextChar"/>
    <w:uiPriority w:val="99"/>
    <w:semiHidden/>
    <w:unhideWhenUsed/>
    <w:rsid w:val="00F83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70"/>
    <w:rPr>
      <w:rFonts w:ascii="Tahoma" w:eastAsia="Times New Roman" w:hAnsi="Tahoma" w:cs="Tahoma"/>
      <w:sz w:val="16"/>
      <w:szCs w:val="16"/>
      <w:lang w:val="fr-FR" w:eastAsia="en-GB"/>
    </w:rPr>
  </w:style>
  <w:style w:type="character" w:customStyle="1" w:styleId="basicreference">
    <w:name w:val="basic_reference"/>
    <w:basedOn w:val="DefaultParagraphFont"/>
    <w:rsid w:val="00F1364A"/>
  </w:style>
  <w:style w:type="character" w:styleId="Hyperlink">
    <w:name w:val="Hyperlink"/>
    <w:basedOn w:val="DefaultParagraphFont"/>
    <w:uiPriority w:val="99"/>
    <w:unhideWhenUsed/>
    <w:rsid w:val="00623585"/>
    <w:rPr>
      <w:color w:val="0000FF" w:themeColor="hyperlink"/>
      <w:u w:val="single"/>
    </w:rPr>
  </w:style>
  <w:style w:type="paragraph" w:customStyle="1" w:styleId="Text1">
    <w:name w:val="Text 1"/>
    <w:basedOn w:val="Normal"/>
    <w:link w:val="Text1Char"/>
    <w:uiPriority w:val="1"/>
    <w:qFormat/>
    <w:rsid w:val="001F44D5"/>
    <w:pPr>
      <w:spacing w:after="240" w:line="240" w:lineRule="auto"/>
      <w:ind w:left="482"/>
      <w:jc w:val="both"/>
    </w:pPr>
    <w:rPr>
      <w:lang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Footnote text,fn"/>
    <w:basedOn w:val="Normal"/>
    <w:link w:val="FootnoteTextChar"/>
    <w:uiPriority w:val="99"/>
    <w:qFormat/>
    <w:rsid w:val="001F44D5"/>
    <w:pPr>
      <w:spacing w:after="240" w:line="240" w:lineRule="auto"/>
      <w:ind w:left="357" w:hanging="357"/>
      <w:jc w:val="both"/>
    </w:pPr>
    <w:rPr>
      <w:sz w:val="20"/>
      <w:lang w:eastAsia="en-US"/>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1F44D5"/>
    <w:rPr>
      <w:rFonts w:ascii="Times New Roman" w:eastAsia="Times New Roman" w:hAnsi="Times New Roman" w:cs="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F44D5"/>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F44D5"/>
    <w:pPr>
      <w:spacing w:after="160" w:line="240" w:lineRule="exact"/>
    </w:pPr>
    <w:rPr>
      <w:rFonts w:asciiTheme="minorHAnsi" w:eastAsiaTheme="minorHAnsi" w:hAnsiTheme="minorHAnsi" w:cstheme="minorBidi"/>
      <w:sz w:val="22"/>
      <w:szCs w:val="22"/>
      <w:vertAlign w:val="superscript"/>
      <w:lang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List Paragraph compact"/>
    <w:basedOn w:val="Normal"/>
    <w:link w:val="ListParagraphChar"/>
    <w:qFormat/>
    <w:rsid w:val="001F44D5"/>
    <w:pPr>
      <w:ind w:left="720"/>
      <w:contextualSpacing/>
    </w:pPr>
  </w:style>
  <w:style w:type="paragraph" w:styleId="Header">
    <w:name w:val="header"/>
    <w:basedOn w:val="Normal"/>
    <w:link w:val="HeaderChar"/>
    <w:uiPriority w:val="99"/>
    <w:unhideWhenUsed/>
    <w:rsid w:val="00DC5EBD"/>
    <w:pPr>
      <w:tabs>
        <w:tab w:val="center" w:pos="4680"/>
        <w:tab w:val="right" w:pos="9360"/>
      </w:tabs>
      <w:spacing w:line="240" w:lineRule="auto"/>
    </w:pPr>
  </w:style>
  <w:style w:type="character" w:customStyle="1" w:styleId="HeaderChar">
    <w:name w:val="Header Char"/>
    <w:basedOn w:val="DefaultParagraphFont"/>
    <w:link w:val="Header"/>
    <w:uiPriority w:val="99"/>
    <w:rsid w:val="00DC5EBD"/>
    <w:rPr>
      <w:rFonts w:ascii="Times New Roman" w:eastAsia="Times New Roman" w:hAnsi="Times New Roman" w:cs="Times New Roman"/>
      <w:sz w:val="24"/>
      <w:szCs w:val="20"/>
      <w:lang w:val="fr-FR" w:eastAsia="en-GB"/>
    </w:rPr>
  </w:style>
  <w:style w:type="character" w:customStyle="1" w:styleId="reference">
    <w:name w:val="reference"/>
    <w:basedOn w:val="DefaultParagraphFont"/>
    <w:rsid w:val="00E66A76"/>
  </w:style>
  <w:style w:type="paragraph" w:customStyle="1" w:styleId="Text2">
    <w:name w:val="Text 2"/>
    <w:basedOn w:val="Normal"/>
    <w:rsid w:val="004238D3"/>
    <w:pPr>
      <w:tabs>
        <w:tab w:val="left" w:pos="2302"/>
      </w:tabs>
      <w:spacing w:after="240" w:line="240" w:lineRule="auto"/>
      <w:ind w:left="1202"/>
      <w:jc w:val="both"/>
    </w:pPr>
    <w:rPr>
      <w:lang w:eastAsia="en-US"/>
    </w:rPr>
  </w:style>
  <w:style w:type="character" w:customStyle="1" w:styleId="playerscommitteetext1">
    <w:name w:val="players_committee_text1"/>
    <w:basedOn w:val="DefaultParagraphFont"/>
    <w:rsid w:val="007F26D1"/>
  </w:style>
  <w:style w:type="paragraph" w:styleId="NormalWeb">
    <w:name w:val="Normal (Web)"/>
    <w:basedOn w:val="Normal"/>
    <w:uiPriority w:val="99"/>
    <w:unhideWhenUsed/>
    <w:rsid w:val="00823FC7"/>
    <w:pPr>
      <w:spacing w:before="100" w:beforeAutospacing="1" w:after="100" w:afterAutospacing="1" w:line="240" w:lineRule="auto"/>
    </w:pPr>
    <w:rPr>
      <w:szCs w:val="24"/>
    </w:rPr>
  </w:style>
  <w:style w:type="paragraph" w:customStyle="1" w:styleId="basictitle">
    <w:name w:val="basic_title"/>
    <w:basedOn w:val="Normal"/>
    <w:rsid w:val="00D41357"/>
    <w:pPr>
      <w:spacing w:before="100" w:beforeAutospacing="1" w:after="165" w:line="240" w:lineRule="auto"/>
    </w:pPr>
    <w:rPr>
      <w:b/>
      <w:bCs/>
      <w:sz w:val="28"/>
      <w:szCs w:val="28"/>
    </w:rPr>
  </w:style>
  <w:style w:type="character" w:styleId="CommentReference">
    <w:name w:val="annotation reference"/>
    <w:basedOn w:val="DefaultParagraphFont"/>
    <w:uiPriority w:val="99"/>
    <w:semiHidden/>
    <w:unhideWhenUsed/>
    <w:rsid w:val="003B552D"/>
    <w:rPr>
      <w:sz w:val="16"/>
      <w:szCs w:val="16"/>
    </w:rPr>
  </w:style>
  <w:style w:type="paragraph" w:styleId="CommentText">
    <w:name w:val="annotation text"/>
    <w:basedOn w:val="Normal"/>
    <w:link w:val="CommentTextChar"/>
    <w:uiPriority w:val="99"/>
    <w:unhideWhenUsed/>
    <w:rsid w:val="003B552D"/>
    <w:pPr>
      <w:spacing w:line="240" w:lineRule="auto"/>
    </w:pPr>
    <w:rPr>
      <w:sz w:val="20"/>
    </w:rPr>
  </w:style>
  <w:style w:type="character" w:customStyle="1" w:styleId="CommentTextChar">
    <w:name w:val="Comment Text Char"/>
    <w:basedOn w:val="DefaultParagraphFont"/>
    <w:link w:val="CommentText"/>
    <w:uiPriority w:val="99"/>
    <w:rsid w:val="003B552D"/>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B552D"/>
    <w:rPr>
      <w:b/>
      <w:bCs/>
    </w:rPr>
  </w:style>
  <w:style w:type="character" w:customStyle="1" w:styleId="CommentSubjectChar">
    <w:name w:val="Comment Subject Char"/>
    <w:basedOn w:val="CommentTextChar"/>
    <w:link w:val="CommentSubject"/>
    <w:uiPriority w:val="99"/>
    <w:semiHidden/>
    <w:rsid w:val="003B552D"/>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3B552D"/>
    <w:pPr>
      <w:spacing w:after="0" w:line="240" w:lineRule="auto"/>
    </w:pPr>
    <w:rPr>
      <w:rFonts w:ascii="Times New Roman" w:eastAsia="Times New Roman" w:hAnsi="Times New Roman" w:cs="Times New Roman"/>
      <w:sz w:val="24"/>
      <w:szCs w:val="20"/>
      <w:lang w:eastAsia="en-GB"/>
    </w:rPr>
  </w:style>
  <w:style w:type="character" w:styleId="Emphasis">
    <w:name w:val="Emphasis"/>
    <w:basedOn w:val="DefaultParagraphFont"/>
    <w:uiPriority w:val="20"/>
    <w:qFormat/>
    <w:rsid w:val="00112C54"/>
    <w:rPr>
      <w:b/>
      <w:bCs/>
      <w:i w:val="0"/>
      <w:iCs w:val="0"/>
    </w:rPr>
  </w:style>
  <w:style w:type="character" w:customStyle="1" w:styleId="st1">
    <w:name w:val="st1"/>
    <w:basedOn w:val="DefaultParagraphFont"/>
    <w:rsid w:val="00112C54"/>
  </w:style>
  <w:style w:type="character" w:customStyle="1" w:styleId="contents1">
    <w:name w:val="contents1"/>
    <w:basedOn w:val="DefaultParagraphFont"/>
    <w:rsid w:val="009149D3"/>
    <w:rPr>
      <w:rFonts w:ascii="Arial" w:hAnsi="Arial" w:cs="Arial" w:hint="default"/>
      <w:b w:val="0"/>
      <w:bCs w:val="0"/>
      <w:color w:val="666666"/>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qFormat/>
    <w:locked/>
    <w:rsid w:val="009A3050"/>
    <w:rPr>
      <w:rFonts w:ascii="Times New Roman" w:eastAsia="Times New Roman" w:hAnsi="Times New Roman" w:cs="Times New Roman"/>
      <w:sz w:val="24"/>
      <w:szCs w:val="20"/>
      <w:lang w:val="fr-FR" w:eastAsia="en-GB"/>
    </w:rPr>
  </w:style>
  <w:style w:type="character" w:customStyle="1" w:styleId="playersrapportertext">
    <w:name w:val="players_rapporter_text"/>
    <w:basedOn w:val="DefaultParagraphFont"/>
    <w:rsid w:val="000E575F"/>
  </w:style>
  <w:style w:type="character" w:customStyle="1" w:styleId="playerscommitteetext">
    <w:name w:val="players_committee_text"/>
    <w:basedOn w:val="DefaultParagraphFont"/>
    <w:rsid w:val="008A216A"/>
  </w:style>
  <w:style w:type="paragraph" w:customStyle="1" w:styleId="Subject">
    <w:name w:val="Subject"/>
    <w:basedOn w:val="Normal"/>
    <w:next w:val="Normal"/>
    <w:rsid w:val="00606568"/>
    <w:pPr>
      <w:spacing w:after="480" w:line="240" w:lineRule="auto"/>
      <w:ind w:left="1191" w:hanging="1191"/>
    </w:pPr>
    <w:rPr>
      <w:rFonts w:ascii="Courier New" w:hAnsi="Courier New"/>
      <w:b/>
    </w:rPr>
  </w:style>
  <w:style w:type="paragraph" w:customStyle="1" w:styleId="Standard">
    <w:name w:val="Standard"/>
    <w:rsid w:val="00123AF4"/>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character" w:customStyle="1" w:styleId="update1">
    <w:name w:val="update1"/>
    <w:basedOn w:val="DefaultParagraphFont"/>
    <w:rsid w:val="005F1E1E"/>
    <w:rPr>
      <w:color w:val="006666"/>
    </w:rPr>
  </w:style>
  <w:style w:type="paragraph" w:customStyle="1" w:styleId="ZnakZnak">
    <w:name w:val="Znak Znak"/>
    <w:basedOn w:val="Normal"/>
    <w:rsid w:val="0087448C"/>
    <w:pPr>
      <w:spacing w:line="360" w:lineRule="auto"/>
      <w:jc w:val="both"/>
    </w:pPr>
    <w:rPr>
      <w:rFonts w:ascii="Verdana" w:hAnsi="Verdana"/>
      <w:sz w:val="20"/>
      <w:lang w:eastAsia="pl-PL"/>
    </w:rPr>
  </w:style>
  <w:style w:type="paragraph" w:styleId="PlainText">
    <w:name w:val="Plain Text"/>
    <w:basedOn w:val="Normal"/>
    <w:link w:val="PlainTextChar"/>
    <w:uiPriority w:val="99"/>
    <w:unhideWhenUsed/>
    <w:rsid w:val="00652281"/>
    <w:pPr>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652281"/>
    <w:rPr>
      <w:rFonts w:ascii="Calibri" w:hAnsi="Calibri"/>
      <w:szCs w:val="21"/>
    </w:rPr>
  </w:style>
  <w:style w:type="character" w:customStyle="1" w:styleId="epname">
    <w:name w:val="ep_name"/>
    <w:basedOn w:val="DefaultParagraphFont"/>
    <w:rsid w:val="00EB6068"/>
  </w:style>
  <w:style w:type="character" w:customStyle="1" w:styleId="epicon">
    <w:name w:val="ep_icon"/>
    <w:basedOn w:val="DefaultParagraphFont"/>
    <w:rsid w:val="00EB6068"/>
  </w:style>
  <w:style w:type="character" w:customStyle="1" w:styleId="epformat">
    <w:name w:val="ep_format"/>
    <w:basedOn w:val="DefaultParagraphFont"/>
    <w:rsid w:val="00EB6068"/>
  </w:style>
  <w:style w:type="paragraph" w:styleId="ListBullet">
    <w:name w:val="List Bullet"/>
    <w:basedOn w:val="Normal"/>
    <w:uiPriority w:val="99"/>
    <w:unhideWhenUsed/>
    <w:rsid w:val="00FC00EB"/>
    <w:pPr>
      <w:numPr>
        <w:numId w:val="1"/>
      </w:numPr>
      <w:contextualSpacing/>
    </w:pPr>
  </w:style>
  <w:style w:type="character" w:customStyle="1" w:styleId="Heading3Char">
    <w:name w:val="Heading 3 Char"/>
    <w:basedOn w:val="DefaultParagraphFont"/>
    <w:link w:val="Heading3"/>
    <w:uiPriority w:val="9"/>
    <w:rsid w:val="00CD07CB"/>
    <w:rPr>
      <w:rFonts w:ascii="Times New Roman" w:eastAsia="Times New Roman" w:hAnsi="Times New Roman" w:cs="Times New Roman"/>
      <w:b/>
      <w:bCs/>
      <w:sz w:val="27"/>
      <w:szCs w:val="27"/>
      <w:lang w:eastAsia="en-GB"/>
    </w:rPr>
  </w:style>
  <w:style w:type="character" w:customStyle="1" w:styleId="st">
    <w:name w:val="st"/>
    <w:basedOn w:val="DefaultParagraphFont"/>
    <w:rsid w:val="004844F4"/>
  </w:style>
  <w:style w:type="character" w:customStyle="1" w:styleId="italic">
    <w:name w:val="italic"/>
    <w:basedOn w:val="DefaultParagraphFont"/>
    <w:rsid w:val="000F2102"/>
  </w:style>
  <w:style w:type="character" w:customStyle="1" w:styleId="Text1Char">
    <w:name w:val="Text 1 Char"/>
    <w:link w:val="Text1"/>
    <w:uiPriority w:val="1"/>
    <w:rsid w:val="006E4CD4"/>
    <w:rPr>
      <w:rFonts w:ascii="Times New Roman" w:eastAsia="Times New Roman" w:hAnsi="Times New Roman" w:cs="Times New Roman"/>
      <w:sz w:val="24"/>
      <w:szCs w:val="20"/>
    </w:rPr>
  </w:style>
  <w:style w:type="character" w:customStyle="1" w:styleId="contentssmallbis1">
    <w:name w:val="contents_small_bis1"/>
    <w:basedOn w:val="DefaultParagraphFont"/>
    <w:rsid w:val="004E2DF6"/>
    <w:rPr>
      <w:rFonts w:ascii="Arial" w:hAnsi="Arial" w:cs="Arial" w:hint="default"/>
      <w:b w:val="0"/>
      <w:bCs w:val="0"/>
      <w:color w:val="363636"/>
      <w:sz w:val="24"/>
      <w:szCs w:val="24"/>
    </w:rPr>
  </w:style>
  <w:style w:type="character" w:customStyle="1" w:styleId="Corpsdutexte7">
    <w:name w:val="Corps du texte (7)_"/>
    <w:link w:val="Corpsdutexte71"/>
    <w:uiPriority w:val="99"/>
    <w:locked/>
    <w:rsid w:val="0068396B"/>
    <w:rPr>
      <w:b/>
      <w:bCs/>
      <w:sz w:val="35"/>
      <w:szCs w:val="35"/>
      <w:shd w:val="clear" w:color="auto" w:fill="FFFFFF"/>
    </w:rPr>
  </w:style>
  <w:style w:type="paragraph" w:customStyle="1" w:styleId="Corpsdutexte71">
    <w:name w:val="Corps du texte (7)1"/>
    <w:basedOn w:val="Normal"/>
    <w:link w:val="Corpsdutexte7"/>
    <w:uiPriority w:val="99"/>
    <w:rsid w:val="0068396B"/>
    <w:pPr>
      <w:widowControl w:val="0"/>
      <w:shd w:val="clear" w:color="auto" w:fill="FFFFFF"/>
      <w:spacing w:before="360" w:after="180"/>
      <w:ind w:hanging="360"/>
    </w:pPr>
    <w:rPr>
      <w:rFonts w:asciiTheme="minorHAnsi" w:eastAsiaTheme="minorHAnsi" w:hAnsiTheme="minorHAnsi" w:cstheme="minorBidi"/>
      <w:b/>
      <w:bCs/>
      <w:sz w:val="35"/>
      <w:szCs w:val="35"/>
      <w:lang w:eastAsia="en-US"/>
    </w:rPr>
  </w:style>
  <w:style w:type="character" w:customStyle="1" w:styleId="Heading1Char">
    <w:name w:val="Heading 1 Char"/>
    <w:basedOn w:val="DefaultParagraphFont"/>
    <w:link w:val="Heading1"/>
    <w:uiPriority w:val="9"/>
    <w:rsid w:val="002B1C45"/>
    <w:rPr>
      <w:rFonts w:asciiTheme="majorHAnsi" w:eastAsiaTheme="majorEastAsia" w:hAnsiTheme="majorHAnsi" w:cstheme="majorBidi"/>
      <w:color w:val="365F91" w:themeColor="accent1" w:themeShade="BF"/>
      <w:sz w:val="32"/>
      <w:szCs w:val="32"/>
      <w:lang w:val="fr-FR" w:eastAsia="en-GB"/>
    </w:rPr>
  </w:style>
  <w:style w:type="character" w:customStyle="1" w:styleId="None">
    <w:name w:val="None"/>
    <w:rsid w:val="003B6145"/>
  </w:style>
  <w:style w:type="character" w:styleId="FollowedHyperlink">
    <w:name w:val="FollowedHyperlink"/>
    <w:basedOn w:val="DefaultParagraphFont"/>
    <w:uiPriority w:val="99"/>
    <w:semiHidden/>
    <w:unhideWhenUsed/>
    <w:rsid w:val="0017144D"/>
    <w:rPr>
      <w:color w:val="800080" w:themeColor="followedHyperlink"/>
      <w:u w:val="single"/>
    </w:rPr>
  </w:style>
  <w:style w:type="character" w:customStyle="1" w:styleId="docsubtitlelevel1bis">
    <w:name w:val="doc_subtitle_level1_bis"/>
    <w:basedOn w:val="DefaultParagraphFont"/>
    <w:rsid w:val="002A1869"/>
  </w:style>
  <w:style w:type="paragraph" w:customStyle="1" w:styleId="Briefingtext">
    <w:name w:val="Briefing text"/>
    <w:basedOn w:val="Normal"/>
    <w:link w:val="BriefingtextChar"/>
    <w:qFormat/>
    <w:rsid w:val="003030EB"/>
    <w:pPr>
      <w:spacing w:after="240" w:line="240" w:lineRule="auto"/>
      <w:jc w:val="both"/>
    </w:pPr>
    <w:rPr>
      <w:rFonts w:ascii="Arial" w:hAnsi="Arial" w:cs="Arial"/>
      <w:sz w:val="22"/>
      <w:szCs w:val="24"/>
      <w:lang w:eastAsia="en-US"/>
    </w:rPr>
  </w:style>
  <w:style w:type="character" w:customStyle="1" w:styleId="BriefingtextChar">
    <w:name w:val="Briefing text Char"/>
    <w:link w:val="Briefingtext"/>
    <w:rsid w:val="003030EB"/>
    <w:rPr>
      <w:rFonts w:ascii="Arial" w:eastAsia="Times New Roman" w:hAnsi="Arial" w:cs="Arial"/>
      <w:szCs w:val="24"/>
    </w:rPr>
  </w:style>
  <w:style w:type="paragraph" w:customStyle="1" w:styleId="LegalNumPar3">
    <w:name w:val="LegalNumPar3"/>
    <w:basedOn w:val="Normal"/>
    <w:rsid w:val="00A62EBA"/>
    <w:pPr>
      <w:numPr>
        <w:ilvl w:val="2"/>
        <w:numId w:val="4"/>
      </w:numPr>
      <w:spacing w:after="240" w:line="360" w:lineRule="auto"/>
    </w:pPr>
    <w:rPr>
      <w:lang w:eastAsia="fr-BE"/>
    </w:rPr>
  </w:style>
  <w:style w:type="paragraph" w:customStyle="1" w:styleId="LegalNumPar2">
    <w:name w:val="LegalNumPar2"/>
    <w:basedOn w:val="Normal"/>
    <w:rsid w:val="00A62EBA"/>
    <w:pPr>
      <w:numPr>
        <w:ilvl w:val="1"/>
        <w:numId w:val="4"/>
      </w:numPr>
      <w:spacing w:after="240" w:line="360" w:lineRule="auto"/>
    </w:pPr>
    <w:rPr>
      <w:lang w:eastAsia="fr-BE"/>
    </w:rPr>
  </w:style>
  <w:style w:type="paragraph" w:customStyle="1" w:styleId="LegalNumPar">
    <w:name w:val="LegalNumPar"/>
    <w:basedOn w:val="Normal"/>
    <w:uiPriority w:val="90"/>
    <w:qFormat/>
    <w:rsid w:val="00A62EBA"/>
    <w:pPr>
      <w:numPr>
        <w:numId w:val="4"/>
      </w:numPr>
      <w:spacing w:after="240" w:line="360" w:lineRule="auto"/>
    </w:pPr>
    <w:rPr>
      <w:lang w:eastAsia="fr-BE"/>
    </w:rPr>
  </w:style>
  <w:style w:type="character" w:customStyle="1" w:styleId="doceo-font-family-base">
    <w:name w:val="doceo-font-family-base"/>
    <w:basedOn w:val="DefaultParagraphFont"/>
    <w:rsid w:val="007C6457"/>
  </w:style>
  <w:style w:type="character" w:customStyle="1" w:styleId="bold">
    <w:name w:val="bold"/>
    <w:basedOn w:val="DefaultParagraphFont"/>
    <w:rsid w:val="00F35D8A"/>
  </w:style>
  <w:style w:type="character" w:customStyle="1" w:styleId="UnresolvedMention1">
    <w:name w:val="Unresolved Mention1"/>
    <w:basedOn w:val="DefaultParagraphFont"/>
    <w:uiPriority w:val="99"/>
    <w:semiHidden/>
    <w:unhideWhenUsed/>
    <w:rsid w:val="00785084"/>
    <w:rPr>
      <w:color w:val="605E5C"/>
      <w:shd w:val="clear" w:color="auto" w:fill="E1DFDD"/>
    </w:rPr>
  </w:style>
  <w:style w:type="character" w:customStyle="1" w:styleId="normaltextrun">
    <w:name w:val="normaltextrun"/>
    <w:basedOn w:val="DefaultParagraphFont"/>
    <w:rsid w:val="00CB65EF"/>
  </w:style>
  <w:style w:type="character" w:styleId="UnresolvedMention">
    <w:name w:val="Unresolved Mention"/>
    <w:basedOn w:val="DefaultParagraphFont"/>
    <w:uiPriority w:val="99"/>
    <w:semiHidden/>
    <w:unhideWhenUsed/>
    <w:rsid w:val="00CB6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572">
      <w:bodyDiv w:val="1"/>
      <w:marLeft w:val="0"/>
      <w:marRight w:val="0"/>
      <w:marTop w:val="0"/>
      <w:marBottom w:val="0"/>
      <w:divBdr>
        <w:top w:val="none" w:sz="0" w:space="0" w:color="auto"/>
        <w:left w:val="none" w:sz="0" w:space="0" w:color="auto"/>
        <w:bottom w:val="none" w:sz="0" w:space="0" w:color="auto"/>
        <w:right w:val="none" w:sz="0" w:space="0" w:color="auto"/>
      </w:divBdr>
    </w:div>
    <w:div w:id="33773058">
      <w:bodyDiv w:val="1"/>
      <w:marLeft w:val="0"/>
      <w:marRight w:val="0"/>
      <w:marTop w:val="0"/>
      <w:marBottom w:val="0"/>
      <w:divBdr>
        <w:top w:val="none" w:sz="0" w:space="0" w:color="auto"/>
        <w:left w:val="none" w:sz="0" w:space="0" w:color="auto"/>
        <w:bottom w:val="none" w:sz="0" w:space="0" w:color="auto"/>
        <w:right w:val="none" w:sz="0" w:space="0" w:color="auto"/>
      </w:divBdr>
    </w:div>
    <w:div w:id="49887762">
      <w:bodyDiv w:val="1"/>
      <w:marLeft w:val="0"/>
      <w:marRight w:val="0"/>
      <w:marTop w:val="0"/>
      <w:marBottom w:val="0"/>
      <w:divBdr>
        <w:top w:val="none" w:sz="0" w:space="0" w:color="auto"/>
        <w:left w:val="none" w:sz="0" w:space="0" w:color="auto"/>
        <w:bottom w:val="none" w:sz="0" w:space="0" w:color="auto"/>
        <w:right w:val="none" w:sz="0" w:space="0" w:color="auto"/>
      </w:divBdr>
    </w:div>
    <w:div w:id="56981817">
      <w:bodyDiv w:val="1"/>
      <w:marLeft w:val="0"/>
      <w:marRight w:val="0"/>
      <w:marTop w:val="0"/>
      <w:marBottom w:val="0"/>
      <w:divBdr>
        <w:top w:val="none" w:sz="0" w:space="0" w:color="auto"/>
        <w:left w:val="none" w:sz="0" w:space="0" w:color="auto"/>
        <w:bottom w:val="none" w:sz="0" w:space="0" w:color="auto"/>
        <w:right w:val="none" w:sz="0" w:space="0" w:color="auto"/>
      </w:divBdr>
    </w:div>
    <w:div w:id="94521281">
      <w:bodyDiv w:val="1"/>
      <w:marLeft w:val="0"/>
      <w:marRight w:val="0"/>
      <w:marTop w:val="0"/>
      <w:marBottom w:val="0"/>
      <w:divBdr>
        <w:top w:val="none" w:sz="0" w:space="0" w:color="auto"/>
        <w:left w:val="none" w:sz="0" w:space="0" w:color="auto"/>
        <w:bottom w:val="none" w:sz="0" w:space="0" w:color="auto"/>
        <w:right w:val="none" w:sz="0" w:space="0" w:color="auto"/>
      </w:divBdr>
      <w:divsChild>
        <w:div w:id="475949890">
          <w:marLeft w:val="0"/>
          <w:marRight w:val="0"/>
          <w:marTop w:val="0"/>
          <w:marBottom w:val="0"/>
          <w:divBdr>
            <w:top w:val="none" w:sz="0" w:space="0" w:color="auto"/>
            <w:left w:val="none" w:sz="0" w:space="0" w:color="auto"/>
            <w:bottom w:val="none" w:sz="0" w:space="0" w:color="auto"/>
            <w:right w:val="none" w:sz="0" w:space="0" w:color="auto"/>
          </w:divBdr>
        </w:div>
        <w:div w:id="1779181158">
          <w:marLeft w:val="0"/>
          <w:marRight w:val="0"/>
          <w:marTop w:val="0"/>
          <w:marBottom w:val="0"/>
          <w:divBdr>
            <w:top w:val="none" w:sz="0" w:space="0" w:color="auto"/>
            <w:left w:val="none" w:sz="0" w:space="0" w:color="auto"/>
            <w:bottom w:val="none" w:sz="0" w:space="0" w:color="auto"/>
            <w:right w:val="none" w:sz="0" w:space="0" w:color="auto"/>
          </w:divBdr>
        </w:div>
        <w:div w:id="507060370">
          <w:marLeft w:val="0"/>
          <w:marRight w:val="0"/>
          <w:marTop w:val="0"/>
          <w:marBottom w:val="0"/>
          <w:divBdr>
            <w:top w:val="none" w:sz="0" w:space="0" w:color="auto"/>
            <w:left w:val="none" w:sz="0" w:space="0" w:color="auto"/>
            <w:bottom w:val="none" w:sz="0" w:space="0" w:color="auto"/>
            <w:right w:val="none" w:sz="0" w:space="0" w:color="auto"/>
          </w:divBdr>
        </w:div>
        <w:div w:id="225191569">
          <w:marLeft w:val="0"/>
          <w:marRight w:val="0"/>
          <w:marTop w:val="0"/>
          <w:marBottom w:val="0"/>
          <w:divBdr>
            <w:top w:val="none" w:sz="0" w:space="0" w:color="auto"/>
            <w:left w:val="none" w:sz="0" w:space="0" w:color="auto"/>
            <w:bottom w:val="none" w:sz="0" w:space="0" w:color="auto"/>
            <w:right w:val="none" w:sz="0" w:space="0" w:color="auto"/>
          </w:divBdr>
        </w:div>
        <w:div w:id="285936472">
          <w:marLeft w:val="0"/>
          <w:marRight w:val="0"/>
          <w:marTop w:val="0"/>
          <w:marBottom w:val="0"/>
          <w:divBdr>
            <w:top w:val="none" w:sz="0" w:space="0" w:color="auto"/>
            <w:left w:val="none" w:sz="0" w:space="0" w:color="auto"/>
            <w:bottom w:val="none" w:sz="0" w:space="0" w:color="auto"/>
            <w:right w:val="none" w:sz="0" w:space="0" w:color="auto"/>
          </w:divBdr>
        </w:div>
        <w:div w:id="1148745387">
          <w:marLeft w:val="0"/>
          <w:marRight w:val="0"/>
          <w:marTop w:val="0"/>
          <w:marBottom w:val="0"/>
          <w:divBdr>
            <w:top w:val="none" w:sz="0" w:space="0" w:color="auto"/>
            <w:left w:val="none" w:sz="0" w:space="0" w:color="auto"/>
            <w:bottom w:val="none" w:sz="0" w:space="0" w:color="auto"/>
            <w:right w:val="none" w:sz="0" w:space="0" w:color="auto"/>
          </w:divBdr>
        </w:div>
        <w:div w:id="516651996">
          <w:marLeft w:val="0"/>
          <w:marRight w:val="0"/>
          <w:marTop w:val="0"/>
          <w:marBottom w:val="0"/>
          <w:divBdr>
            <w:top w:val="none" w:sz="0" w:space="0" w:color="auto"/>
            <w:left w:val="none" w:sz="0" w:space="0" w:color="auto"/>
            <w:bottom w:val="none" w:sz="0" w:space="0" w:color="auto"/>
            <w:right w:val="none" w:sz="0" w:space="0" w:color="auto"/>
          </w:divBdr>
        </w:div>
        <w:div w:id="1656029931">
          <w:marLeft w:val="0"/>
          <w:marRight w:val="0"/>
          <w:marTop w:val="0"/>
          <w:marBottom w:val="0"/>
          <w:divBdr>
            <w:top w:val="none" w:sz="0" w:space="0" w:color="auto"/>
            <w:left w:val="none" w:sz="0" w:space="0" w:color="auto"/>
            <w:bottom w:val="none" w:sz="0" w:space="0" w:color="auto"/>
            <w:right w:val="none" w:sz="0" w:space="0" w:color="auto"/>
          </w:divBdr>
        </w:div>
      </w:divsChild>
    </w:div>
    <w:div w:id="97453146">
      <w:bodyDiv w:val="1"/>
      <w:marLeft w:val="0"/>
      <w:marRight w:val="0"/>
      <w:marTop w:val="0"/>
      <w:marBottom w:val="0"/>
      <w:divBdr>
        <w:top w:val="none" w:sz="0" w:space="0" w:color="auto"/>
        <w:left w:val="none" w:sz="0" w:space="0" w:color="auto"/>
        <w:bottom w:val="none" w:sz="0" w:space="0" w:color="auto"/>
        <w:right w:val="none" w:sz="0" w:space="0" w:color="auto"/>
      </w:divBdr>
    </w:div>
    <w:div w:id="98380410">
      <w:bodyDiv w:val="1"/>
      <w:marLeft w:val="0"/>
      <w:marRight w:val="0"/>
      <w:marTop w:val="0"/>
      <w:marBottom w:val="0"/>
      <w:divBdr>
        <w:top w:val="none" w:sz="0" w:space="0" w:color="auto"/>
        <w:left w:val="none" w:sz="0" w:space="0" w:color="auto"/>
        <w:bottom w:val="none" w:sz="0" w:space="0" w:color="auto"/>
        <w:right w:val="none" w:sz="0" w:space="0" w:color="auto"/>
      </w:divBdr>
      <w:divsChild>
        <w:div w:id="1839883318">
          <w:marLeft w:val="0"/>
          <w:marRight w:val="0"/>
          <w:marTop w:val="0"/>
          <w:marBottom w:val="0"/>
          <w:divBdr>
            <w:top w:val="none" w:sz="0" w:space="0" w:color="auto"/>
            <w:left w:val="none" w:sz="0" w:space="0" w:color="auto"/>
            <w:bottom w:val="none" w:sz="0" w:space="0" w:color="auto"/>
            <w:right w:val="none" w:sz="0" w:space="0" w:color="auto"/>
          </w:divBdr>
          <w:divsChild>
            <w:div w:id="1958757023">
              <w:marLeft w:val="0"/>
              <w:marRight w:val="0"/>
              <w:marTop w:val="0"/>
              <w:marBottom w:val="0"/>
              <w:divBdr>
                <w:top w:val="none" w:sz="0" w:space="0" w:color="auto"/>
                <w:left w:val="none" w:sz="0" w:space="0" w:color="auto"/>
                <w:bottom w:val="none" w:sz="0" w:space="0" w:color="auto"/>
                <w:right w:val="none" w:sz="0" w:space="0" w:color="auto"/>
              </w:divBdr>
              <w:divsChild>
                <w:div w:id="1283927423">
                  <w:marLeft w:val="0"/>
                  <w:marRight w:val="0"/>
                  <w:marTop w:val="0"/>
                  <w:marBottom w:val="0"/>
                  <w:divBdr>
                    <w:top w:val="none" w:sz="0" w:space="0" w:color="auto"/>
                    <w:left w:val="none" w:sz="0" w:space="0" w:color="auto"/>
                    <w:bottom w:val="none" w:sz="0" w:space="0" w:color="auto"/>
                    <w:right w:val="none" w:sz="0" w:space="0" w:color="auto"/>
                  </w:divBdr>
                  <w:divsChild>
                    <w:div w:id="1223297810">
                      <w:marLeft w:val="0"/>
                      <w:marRight w:val="0"/>
                      <w:marTop w:val="0"/>
                      <w:marBottom w:val="0"/>
                      <w:divBdr>
                        <w:top w:val="none" w:sz="0" w:space="0" w:color="auto"/>
                        <w:left w:val="none" w:sz="0" w:space="0" w:color="auto"/>
                        <w:bottom w:val="none" w:sz="0" w:space="0" w:color="auto"/>
                        <w:right w:val="none" w:sz="0" w:space="0" w:color="auto"/>
                      </w:divBdr>
                      <w:divsChild>
                        <w:div w:id="1988704979">
                          <w:marLeft w:val="0"/>
                          <w:marRight w:val="0"/>
                          <w:marTop w:val="0"/>
                          <w:marBottom w:val="0"/>
                          <w:divBdr>
                            <w:top w:val="none" w:sz="0" w:space="0" w:color="auto"/>
                            <w:left w:val="none" w:sz="0" w:space="0" w:color="auto"/>
                            <w:bottom w:val="none" w:sz="0" w:space="0" w:color="auto"/>
                            <w:right w:val="none" w:sz="0" w:space="0" w:color="auto"/>
                          </w:divBdr>
                          <w:divsChild>
                            <w:div w:id="1079212827">
                              <w:marLeft w:val="0"/>
                              <w:marRight w:val="0"/>
                              <w:marTop w:val="0"/>
                              <w:marBottom w:val="0"/>
                              <w:divBdr>
                                <w:top w:val="none" w:sz="0" w:space="0" w:color="auto"/>
                                <w:left w:val="none" w:sz="0" w:space="0" w:color="auto"/>
                                <w:bottom w:val="none" w:sz="0" w:space="0" w:color="auto"/>
                                <w:right w:val="none" w:sz="0" w:space="0" w:color="auto"/>
                              </w:divBdr>
                              <w:divsChild>
                                <w:div w:id="1652516869">
                                  <w:marLeft w:val="0"/>
                                  <w:marRight w:val="0"/>
                                  <w:marTop w:val="0"/>
                                  <w:marBottom w:val="0"/>
                                  <w:divBdr>
                                    <w:top w:val="none" w:sz="0" w:space="0" w:color="auto"/>
                                    <w:left w:val="none" w:sz="0" w:space="0" w:color="auto"/>
                                    <w:bottom w:val="none" w:sz="0" w:space="0" w:color="auto"/>
                                    <w:right w:val="none" w:sz="0" w:space="0" w:color="auto"/>
                                  </w:divBdr>
                                  <w:divsChild>
                                    <w:div w:id="491683574">
                                      <w:marLeft w:val="0"/>
                                      <w:marRight w:val="0"/>
                                      <w:marTop w:val="0"/>
                                      <w:marBottom w:val="0"/>
                                      <w:divBdr>
                                        <w:top w:val="none" w:sz="0" w:space="0" w:color="auto"/>
                                        <w:left w:val="none" w:sz="0" w:space="0" w:color="auto"/>
                                        <w:bottom w:val="none" w:sz="0" w:space="0" w:color="auto"/>
                                        <w:right w:val="none" w:sz="0" w:space="0" w:color="auto"/>
                                      </w:divBdr>
                                      <w:divsChild>
                                        <w:div w:id="676343075">
                                          <w:marLeft w:val="0"/>
                                          <w:marRight w:val="0"/>
                                          <w:marTop w:val="0"/>
                                          <w:marBottom w:val="0"/>
                                          <w:divBdr>
                                            <w:top w:val="none" w:sz="0" w:space="0" w:color="auto"/>
                                            <w:left w:val="none" w:sz="0" w:space="0" w:color="auto"/>
                                            <w:bottom w:val="none" w:sz="0" w:space="0" w:color="auto"/>
                                            <w:right w:val="none" w:sz="0" w:space="0" w:color="auto"/>
                                          </w:divBdr>
                                          <w:divsChild>
                                            <w:div w:id="788015551">
                                              <w:marLeft w:val="0"/>
                                              <w:marRight w:val="0"/>
                                              <w:marTop w:val="0"/>
                                              <w:marBottom w:val="0"/>
                                              <w:divBdr>
                                                <w:top w:val="none" w:sz="0" w:space="0" w:color="auto"/>
                                                <w:left w:val="none" w:sz="0" w:space="0" w:color="auto"/>
                                                <w:bottom w:val="none" w:sz="0" w:space="0" w:color="auto"/>
                                                <w:right w:val="none" w:sz="0" w:space="0" w:color="auto"/>
                                              </w:divBdr>
                                              <w:divsChild>
                                                <w:div w:id="226307243">
                                                  <w:marLeft w:val="0"/>
                                                  <w:marRight w:val="0"/>
                                                  <w:marTop w:val="0"/>
                                                  <w:marBottom w:val="0"/>
                                                  <w:divBdr>
                                                    <w:top w:val="none" w:sz="0" w:space="0" w:color="auto"/>
                                                    <w:left w:val="none" w:sz="0" w:space="0" w:color="auto"/>
                                                    <w:bottom w:val="none" w:sz="0" w:space="0" w:color="auto"/>
                                                    <w:right w:val="none" w:sz="0" w:space="0" w:color="auto"/>
                                                  </w:divBdr>
                                                  <w:divsChild>
                                                    <w:div w:id="2143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74787">
      <w:bodyDiv w:val="1"/>
      <w:marLeft w:val="0"/>
      <w:marRight w:val="0"/>
      <w:marTop w:val="0"/>
      <w:marBottom w:val="0"/>
      <w:divBdr>
        <w:top w:val="none" w:sz="0" w:space="0" w:color="auto"/>
        <w:left w:val="none" w:sz="0" w:space="0" w:color="auto"/>
        <w:bottom w:val="none" w:sz="0" w:space="0" w:color="auto"/>
        <w:right w:val="none" w:sz="0" w:space="0" w:color="auto"/>
      </w:divBdr>
    </w:div>
    <w:div w:id="143157339">
      <w:bodyDiv w:val="1"/>
      <w:marLeft w:val="0"/>
      <w:marRight w:val="0"/>
      <w:marTop w:val="0"/>
      <w:marBottom w:val="0"/>
      <w:divBdr>
        <w:top w:val="none" w:sz="0" w:space="0" w:color="auto"/>
        <w:left w:val="none" w:sz="0" w:space="0" w:color="auto"/>
        <w:bottom w:val="none" w:sz="0" w:space="0" w:color="auto"/>
        <w:right w:val="none" w:sz="0" w:space="0" w:color="auto"/>
      </w:divBdr>
    </w:div>
    <w:div w:id="148519421">
      <w:bodyDiv w:val="1"/>
      <w:marLeft w:val="0"/>
      <w:marRight w:val="0"/>
      <w:marTop w:val="0"/>
      <w:marBottom w:val="0"/>
      <w:divBdr>
        <w:top w:val="none" w:sz="0" w:space="0" w:color="auto"/>
        <w:left w:val="none" w:sz="0" w:space="0" w:color="auto"/>
        <w:bottom w:val="none" w:sz="0" w:space="0" w:color="auto"/>
        <w:right w:val="none" w:sz="0" w:space="0" w:color="auto"/>
      </w:divBdr>
    </w:div>
    <w:div w:id="189421898">
      <w:bodyDiv w:val="1"/>
      <w:marLeft w:val="0"/>
      <w:marRight w:val="0"/>
      <w:marTop w:val="0"/>
      <w:marBottom w:val="0"/>
      <w:divBdr>
        <w:top w:val="none" w:sz="0" w:space="0" w:color="auto"/>
        <w:left w:val="none" w:sz="0" w:space="0" w:color="auto"/>
        <w:bottom w:val="none" w:sz="0" w:space="0" w:color="auto"/>
        <w:right w:val="none" w:sz="0" w:space="0" w:color="auto"/>
      </w:divBdr>
    </w:div>
    <w:div w:id="196821605">
      <w:bodyDiv w:val="1"/>
      <w:marLeft w:val="0"/>
      <w:marRight w:val="0"/>
      <w:marTop w:val="0"/>
      <w:marBottom w:val="0"/>
      <w:divBdr>
        <w:top w:val="none" w:sz="0" w:space="0" w:color="auto"/>
        <w:left w:val="none" w:sz="0" w:space="0" w:color="auto"/>
        <w:bottom w:val="none" w:sz="0" w:space="0" w:color="auto"/>
        <w:right w:val="none" w:sz="0" w:space="0" w:color="auto"/>
      </w:divBdr>
    </w:div>
    <w:div w:id="211503908">
      <w:bodyDiv w:val="1"/>
      <w:marLeft w:val="0"/>
      <w:marRight w:val="0"/>
      <w:marTop w:val="0"/>
      <w:marBottom w:val="0"/>
      <w:divBdr>
        <w:top w:val="none" w:sz="0" w:space="0" w:color="auto"/>
        <w:left w:val="none" w:sz="0" w:space="0" w:color="auto"/>
        <w:bottom w:val="none" w:sz="0" w:space="0" w:color="auto"/>
        <w:right w:val="none" w:sz="0" w:space="0" w:color="auto"/>
      </w:divBdr>
    </w:div>
    <w:div w:id="220823386">
      <w:bodyDiv w:val="1"/>
      <w:marLeft w:val="0"/>
      <w:marRight w:val="0"/>
      <w:marTop w:val="0"/>
      <w:marBottom w:val="0"/>
      <w:divBdr>
        <w:top w:val="none" w:sz="0" w:space="0" w:color="auto"/>
        <w:left w:val="none" w:sz="0" w:space="0" w:color="auto"/>
        <w:bottom w:val="none" w:sz="0" w:space="0" w:color="auto"/>
        <w:right w:val="none" w:sz="0" w:space="0" w:color="auto"/>
      </w:divBdr>
    </w:div>
    <w:div w:id="226766515">
      <w:bodyDiv w:val="1"/>
      <w:marLeft w:val="0"/>
      <w:marRight w:val="0"/>
      <w:marTop w:val="0"/>
      <w:marBottom w:val="0"/>
      <w:divBdr>
        <w:top w:val="none" w:sz="0" w:space="0" w:color="auto"/>
        <w:left w:val="none" w:sz="0" w:space="0" w:color="auto"/>
        <w:bottom w:val="none" w:sz="0" w:space="0" w:color="auto"/>
        <w:right w:val="none" w:sz="0" w:space="0" w:color="auto"/>
      </w:divBdr>
    </w:div>
    <w:div w:id="235553097">
      <w:bodyDiv w:val="1"/>
      <w:marLeft w:val="0"/>
      <w:marRight w:val="0"/>
      <w:marTop w:val="0"/>
      <w:marBottom w:val="0"/>
      <w:divBdr>
        <w:top w:val="none" w:sz="0" w:space="0" w:color="auto"/>
        <w:left w:val="none" w:sz="0" w:space="0" w:color="auto"/>
        <w:bottom w:val="none" w:sz="0" w:space="0" w:color="auto"/>
        <w:right w:val="none" w:sz="0" w:space="0" w:color="auto"/>
      </w:divBdr>
    </w:div>
    <w:div w:id="244462904">
      <w:bodyDiv w:val="1"/>
      <w:marLeft w:val="0"/>
      <w:marRight w:val="0"/>
      <w:marTop w:val="0"/>
      <w:marBottom w:val="0"/>
      <w:divBdr>
        <w:top w:val="none" w:sz="0" w:space="0" w:color="auto"/>
        <w:left w:val="none" w:sz="0" w:space="0" w:color="auto"/>
        <w:bottom w:val="none" w:sz="0" w:space="0" w:color="auto"/>
        <w:right w:val="none" w:sz="0" w:space="0" w:color="auto"/>
      </w:divBdr>
    </w:div>
    <w:div w:id="247277795">
      <w:bodyDiv w:val="1"/>
      <w:marLeft w:val="0"/>
      <w:marRight w:val="0"/>
      <w:marTop w:val="0"/>
      <w:marBottom w:val="0"/>
      <w:divBdr>
        <w:top w:val="none" w:sz="0" w:space="0" w:color="auto"/>
        <w:left w:val="none" w:sz="0" w:space="0" w:color="auto"/>
        <w:bottom w:val="none" w:sz="0" w:space="0" w:color="auto"/>
        <w:right w:val="none" w:sz="0" w:space="0" w:color="auto"/>
      </w:divBdr>
    </w:div>
    <w:div w:id="263926447">
      <w:bodyDiv w:val="1"/>
      <w:marLeft w:val="0"/>
      <w:marRight w:val="0"/>
      <w:marTop w:val="0"/>
      <w:marBottom w:val="0"/>
      <w:divBdr>
        <w:top w:val="none" w:sz="0" w:space="0" w:color="auto"/>
        <w:left w:val="none" w:sz="0" w:space="0" w:color="auto"/>
        <w:bottom w:val="none" w:sz="0" w:space="0" w:color="auto"/>
        <w:right w:val="none" w:sz="0" w:space="0" w:color="auto"/>
      </w:divBdr>
    </w:div>
    <w:div w:id="305673338">
      <w:bodyDiv w:val="1"/>
      <w:marLeft w:val="0"/>
      <w:marRight w:val="0"/>
      <w:marTop w:val="0"/>
      <w:marBottom w:val="0"/>
      <w:divBdr>
        <w:top w:val="none" w:sz="0" w:space="0" w:color="auto"/>
        <w:left w:val="none" w:sz="0" w:space="0" w:color="auto"/>
        <w:bottom w:val="none" w:sz="0" w:space="0" w:color="auto"/>
        <w:right w:val="none" w:sz="0" w:space="0" w:color="auto"/>
      </w:divBdr>
    </w:div>
    <w:div w:id="316999921">
      <w:bodyDiv w:val="1"/>
      <w:marLeft w:val="0"/>
      <w:marRight w:val="0"/>
      <w:marTop w:val="0"/>
      <w:marBottom w:val="0"/>
      <w:divBdr>
        <w:top w:val="none" w:sz="0" w:space="0" w:color="auto"/>
        <w:left w:val="none" w:sz="0" w:space="0" w:color="auto"/>
        <w:bottom w:val="none" w:sz="0" w:space="0" w:color="auto"/>
        <w:right w:val="none" w:sz="0" w:space="0" w:color="auto"/>
      </w:divBdr>
      <w:divsChild>
        <w:div w:id="44332074">
          <w:marLeft w:val="0"/>
          <w:marRight w:val="0"/>
          <w:marTop w:val="0"/>
          <w:marBottom w:val="0"/>
          <w:divBdr>
            <w:top w:val="none" w:sz="0" w:space="0" w:color="auto"/>
            <w:left w:val="none" w:sz="0" w:space="0" w:color="auto"/>
            <w:bottom w:val="none" w:sz="0" w:space="0" w:color="auto"/>
            <w:right w:val="none" w:sz="0" w:space="0" w:color="auto"/>
          </w:divBdr>
          <w:divsChild>
            <w:div w:id="637954702">
              <w:marLeft w:val="0"/>
              <w:marRight w:val="0"/>
              <w:marTop w:val="0"/>
              <w:marBottom w:val="0"/>
              <w:divBdr>
                <w:top w:val="none" w:sz="0" w:space="0" w:color="auto"/>
                <w:left w:val="none" w:sz="0" w:space="0" w:color="auto"/>
                <w:bottom w:val="none" w:sz="0" w:space="0" w:color="auto"/>
                <w:right w:val="none" w:sz="0" w:space="0" w:color="auto"/>
              </w:divBdr>
              <w:divsChild>
                <w:div w:id="1627153276">
                  <w:marLeft w:val="0"/>
                  <w:marRight w:val="0"/>
                  <w:marTop w:val="0"/>
                  <w:marBottom w:val="0"/>
                  <w:divBdr>
                    <w:top w:val="none" w:sz="0" w:space="0" w:color="auto"/>
                    <w:left w:val="none" w:sz="0" w:space="0" w:color="auto"/>
                    <w:bottom w:val="none" w:sz="0" w:space="0" w:color="auto"/>
                    <w:right w:val="none" w:sz="0" w:space="0" w:color="auto"/>
                  </w:divBdr>
                  <w:divsChild>
                    <w:div w:id="1998917832">
                      <w:marLeft w:val="0"/>
                      <w:marRight w:val="0"/>
                      <w:marTop w:val="0"/>
                      <w:marBottom w:val="0"/>
                      <w:divBdr>
                        <w:top w:val="none" w:sz="0" w:space="0" w:color="auto"/>
                        <w:left w:val="none" w:sz="0" w:space="0" w:color="auto"/>
                        <w:bottom w:val="none" w:sz="0" w:space="0" w:color="auto"/>
                        <w:right w:val="none" w:sz="0" w:space="0" w:color="auto"/>
                      </w:divBdr>
                      <w:divsChild>
                        <w:div w:id="495191717">
                          <w:marLeft w:val="0"/>
                          <w:marRight w:val="0"/>
                          <w:marTop w:val="0"/>
                          <w:marBottom w:val="0"/>
                          <w:divBdr>
                            <w:top w:val="none" w:sz="0" w:space="0" w:color="auto"/>
                            <w:left w:val="none" w:sz="0" w:space="0" w:color="auto"/>
                            <w:bottom w:val="none" w:sz="0" w:space="0" w:color="auto"/>
                            <w:right w:val="none" w:sz="0" w:space="0" w:color="auto"/>
                          </w:divBdr>
                          <w:divsChild>
                            <w:div w:id="444931618">
                              <w:marLeft w:val="0"/>
                              <w:marRight w:val="0"/>
                              <w:marTop w:val="0"/>
                              <w:marBottom w:val="0"/>
                              <w:divBdr>
                                <w:top w:val="none" w:sz="0" w:space="0" w:color="auto"/>
                                <w:left w:val="none" w:sz="0" w:space="0" w:color="auto"/>
                                <w:bottom w:val="none" w:sz="0" w:space="0" w:color="auto"/>
                                <w:right w:val="none" w:sz="0" w:space="0" w:color="auto"/>
                              </w:divBdr>
                              <w:divsChild>
                                <w:div w:id="2113472780">
                                  <w:marLeft w:val="0"/>
                                  <w:marRight w:val="0"/>
                                  <w:marTop w:val="0"/>
                                  <w:marBottom w:val="0"/>
                                  <w:divBdr>
                                    <w:top w:val="none" w:sz="0" w:space="0" w:color="auto"/>
                                    <w:left w:val="none" w:sz="0" w:space="0" w:color="auto"/>
                                    <w:bottom w:val="none" w:sz="0" w:space="0" w:color="auto"/>
                                    <w:right w:val="none" w:sz="0" w:space="0" w:color="auto"/>
                                  </w:divBdr>
                                  <w:divsChild>
                                    <w:div w:id="339478255">
                                      <w:marLeft w:val="0"/>
                                      <w:marRight w:val="0"/>
                                      <w:marTop w:val="0"/>
                                      <w:marBottom w:val="0"/>
                                      <w:divBdr>
                                        <w:top w:val="none" w:sz="0" w:space="0" w:color="auto"/>
                                        <w:left w:val="none" w:sz="0" w:space="0" w:color="auto"/>
                                        <w:bottom w:val="none" w:sz="0" w:space="0" w:color="auto"/>
                                        <w:right w:val="none" w:sz="0" w:space="0" w:color="auto"/>
                                      </w:divBdr>
                                      <w:divsChild>
                                        <w:div w:id="1731612565">
                                          <w:marLeft w:val="0"/>
                                          <w:marRight w:val="0"/>
                                          <w:marTop w:val="0"/>
                                          <w:marBottom w:val="0"/>
                                          <w:divBdr>
                                            <w:top w:val="none" w:sz="0" w:space="0" w:color="auto"/>
                                            <w:left w:val="none" w:sz="0" w:space="0" w:color="auto"/>
                                            <w:bottom w:val="none" w:sz="0" w:space="0" w:color="auto"/>
                                            <w:right w:val="none" w:sz="0" w:space="0" w:color="auto"/>
                                          </w:divBdr>
                                          <w:divsChild>
                                            <w:div w:id="164637832">
                                              <w:marLeft w:val="0"/>
                                              <w:marRight w:val="0"/>
                                              <w:marTop w:val="0"/>
                                              <w:marBottom w:val="0"/>
                                              <w:divBdr>
                                                <w:top w:val="none" w:sz="0" w:space="0" w:color="auto"/>
                                                <w:left w:val="none" w:sz="0" w:space="0" w:color="auto"/>
                                                <w:bottom w:val="none" w:sz="0" w:space="0" w:color="auto"/>
                                                <w:right w:val="none" w:sz="0" w:space="0" w:color="auto"/>
                                              </w:divBdr>
                                              <w:divsChild>
                                                <w:div w:id="1845900085">
                                                  <w:marLeft w:val="0"/>
                                                  <w:marRight w:val="0"/>
                                                  <w:marTop w:val="0"/>
                                                  <w:marBottom w:val="0"/>
                                                  <w:divBdr>
                                                    <w:top w:val="none" w:sz="0" w:space="0" w:color="auto"/>
                                                    <w:left w:val="none" w:sz="0" w:space="0" w:color="auto"/>
                                                    <w:bottom w:val="none" w:sz="0" w:space="0" w:color="auto"/>
                                                    <w:right w:val="none" w:sz="0" w:space="0" w:color="auto"/>
                                                  </w:divBdr>
                                                  <w:divsChild>
                                                    <w:div w:id="8138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322231">
      <w:bodyDiv w:val="1"/>
      <w:marLeft w:val="0"/>
      <w:marRight w:val="0"/>
      <w:marTop w:val="0"/>
      <w:marBottom w:val="0"/>
      <w:divBdr>
        <w:top w:val="none" w:sz="0" w:space="0" w:color="auto"/>
        <w:left w:val="none" w:sz="0" w:space="0" w:color="auto"/>
        <w:bottom w:val="none" w:sz="0" w:space="0" w:color="auto"/>
        <w:right w:val="none" w:sz="0" w:space="0" w:color="auto"/>
      </w:divBdr>
    </w:div>
    <w:div w:id="331879370">
      <w:bodyDiv w:val="1"/>
      <w:marLeft w:val="0"/>
      <w:marRight w:val="0"/>
      <w:marTop w:val="0"/>
      <w:marBottom w:val="0"/>
      <w:divBdr>
        <w:top w:val="none" w:sz="0" w:space="0" w:color="auto"/>
        <w:left w:val="none" w:sz="0" w:space="0" w:color="auto"/>
        <w:bottom w:val="none" w:sz="0" w:space="0" w:color="auto"/>
        <w:right w:val="none" w:sz="0" w:space="0" w:color="auto"/>
      </w:divBdr>
    </w:div>
    <w:div w:id="392584136">
      <w:bodyDiv w:val="1"/>
      <w:marLeft w:val="0"/>
      <w:marRight w:val="0"/>
      <w:marTop w:val="0"/>
      <w:marBottom w:val="0"/>
      <w:divBdr>
        <w:top w:val="none" w:sz="0" w:space="0" w:color="auto"/>
        <w:left w:val="none" w:sz="0" w:space="0" w:color="auto"/>
        <w:bottom w:val="none" w:sz="0" w:space="0" w:color="auto"/>
        <w:right w:val="none" w:sz="0" w:space="0" w:color="auto"/>
      </w:divBdr>
    </w:div>
    <w:div w:id="426312297">
      <w:bodyDiv w:val="1"/>
      <w:marLeft w:val="0"/>
      <w:marRight w:val="0"/>
      <w:marTop w:val="0"/>
      <w:marBottom w:val="0"/>
      <w:divBdr>
        <w:top w:val="none" w:sz="0" w:space="0" w:color="auto"/>
        <w:left w:val="none" w:sz="0" w:space="0" w:color="auto"/>
        <w:bottom w:val="none" w:sz="0" w:space="0" w:color="auto"/>
        <w:right w:val="none" w:sz="0" w:space="0" w:color="auto"/>
      </w:divBdr>
      <w:divsChild>
        <w:div w:id="564415787">
          <w:marLeft w:val="0"/>
          <w:marRight w:val="0"/>
          <w:marTop w:val="0"/>
          <w:marBottom w:val="0"/>
          <w:divBdr>
            <w:top w:val="none" w:sz="0" w:space="0" w:color="auto"/>
            <w:left w:val="none" w:sz="0" w:space="0" w:color="auto"/>
            <w:bottom w:val="none" w:sz="0" w:space="0" w:color="auto"/>
            <w:right w:val="none" w:sz="0" w:space="0" w:color="auto"/>
          </w:divBdr>
          <w:divsChild>
            <w:div w:id="1514566875">
              <w:marLeft w:val="0"/>
              <w:marRight w:val="0"/>
              <w:marTop w:val="0"/>
              <w:marBottom w:val="0"/>
              <w:divBdr>
                <w:top w:val="none" w:sz="0" w:space="0" w:color="auto"/>
                <w:left w:val="none" w:sz="0" w:space="0" w:color="auto"/>
                <w:bottom w:val="none" w:sz="0" w:space="0" w:color="auto"/>
                <w:right w:val="none" w:sz="0" w:space="0" w:color="auto"/>
              </w:divBdr>
              <w:divsChild>
                <w:div w:id="759910471">
                  <w:marLeft w:val="0"/>
                  <w:marRight w:val="0"/>
                  <w:marTop w:val="0"/>
                  <w:marBottom w:val="0"/>
                  <w:divBdr>
                    <w:top w:val="none" w:sz="0" w:space="0" w:color="auto"/>
                    <w:left w:val="none" w:sz="0" w:space="0" w:color="auto"/>
                    <w:bottom w:val="none" w:sz="0" w:space="0" w:color="auto"/>
                    <w:right w:val="none" w:sz="0" w:space="0" w:color="auto"/>
                  </w:divBdr>
                  <w:divsChild>
                    <w:div w:id="1591305484">
                      <w:marLeft w:val="0"/>
                      <w:marRight w:val="0"/>
                      <w:marTop w:val="0"/>
                      <w:marBottom w:val="0"/>
                      <w:divBdr>
                        <w:top w:val="none" w:sz="0" w:space="0" w:color="auto"/>
                        <w:left w:val="none" w:sz="0" w:space="0" w:color="auto"/>
                        <w:bottom w:val="none" w:sz="0" w:space="0" w:color="auto"/>
                        <w:right w:val="none" w:sz="0" w:space="0" w:color="auto"/>
                      </w:divBdr>
                      <w:divsChild>
                        <w:div w:id="944775203">
                          <w:marLeft w:val="0"/>
                          <w:marRight w:val="0"/>
                          <w:marTop w:val="0"/>
                          <w:marBottom w:val="0"/>
                          <w:divBdr>
                            <w:top w:val="none" w:sz="0" w:space="0" w:color="auto"/>
                            <w:left w:val="none" w:sz="0" w:space="0" w:color="auto"/>
                            <w:bottom w:val="none" w:sz="0" w:space="0" w:color="auto"/>
                            <w:right w:val="none" w:sz="0" w:space="0" w:color="auto"/>
                          </w:divBdr>
                          <w:divsChild>
                            <w:div w:id="282813915">
                              <w:marLeft w:val="0"/>
                              <w:marRight w:val="0"/>
                              <w:marTop w:val="0"/>
                              <w:marBottom w:val="0"/>
                              <w:divBdr>
                                <w:top w:val="none" w:sz="0" w:space="0" w:color="auto"/>
                                <w:left w:val="none" w:sz="0" w:space="0" w:color="auto"/>
                                <w:bottom w:val="none" w:sz="0" w:space="0" w:color="auto"/>
                                <w:right w:val="none" w:sz="0" w:space="0" w:color="auto"/>
                              </w:divBdr>
                              <w:divsChild>
                                <w:div w:id="2084985629">
                                  <w:marLeft w:val="0"/>
                                  <w:marRight w:val="0"/>
                                  <w:marTop w:val="0"/>
                                  <w:marBottom w:val="0"/>
                                  <w:divBdr>
                                    <w:top w:val="none" w:sz="0" w:space="0" w:color="auto"/>
                                    <w:left w:val="none" w:sz="0" w:space="0" w:color="auto"/>
                                    <w:bottom w:val="none" w:sz="0" w:space="0" w:color="auto"/>
                                    <w:right w:val="none" w:sz="0" w:space="0" w:color="auto"/>
                                  </w:divBdr>
                                  <w:divsChild>
                                    <w:div w:id="579994921">
                                      <w:marLeft w:val="0"/>
                                      <w:marRight w:val="0"/>
                                      <w:marTop w:val="0"/>
                                      <w:marBottom w:val="0"/>
                                      <w:divBdr>
                                        <w:top w:val="none" w:sz="0" w:space="0" w:color="auto"/>
                                        <w:left w:val="none" w:sz="0" w:space="0" w:color="auto"/>
                                        <w:bottom w:val="none" w:sz="0" w:space="0" w:color="auto"/>
                                        <w:right w:val="none" w:sz="0" w:space="0" w:color="auto"/>
                                      </w:divBdr>
                                      <w:divsChild>
                                        <w:div w:id="1804424976">
                                          <w:marLeft w:val="0"/>
                                          <w:marRight w:val="0"/>
                                          <w:marTop w:val="0"/>
                                          <w:marBottom w:val="0"/>
                                          <w:divBdr>
                                            <w:top w:val="none" w:sz="0" w:space="0" w:color="auto"/>
                                            <w:left w:val="none" w:sz="0" w:space="0" w:color="auto"/>
                                            <w:bottom w:val="none" w:sz="0" w:space="0" w:color="auto"/>
                                            <w:right w:val="none" w:sz="0" w:space="0" w:color="auto"/>
                                          </w:divBdr>
                                          <w:divsChild>
                                            <w:div w:id="56588623">
                                              <w:marLeft w:val="0"/>
                                              <w:marRight w:val="0"/>
                                              <w:marTop w:val="0"/>
                                              <w:marBottom w:val="0"/>
                                              <w:divBdr>
                                                <w:top w:val="none" w:sz="0" w:space="0" w:color="auto"/>
                                                <w:left w:val="none" w:sz="0" w:space="0" w:color="auto"/>
                                                <w:bottom w:val="none" w:sz="0" w:space="0" w:color="auto"/>
                                                <w:right w:val="none" w:sz="0" w:space="0" w:color="auto"/>
                                              </w:divBdr>
                                              <w:divsChild>
                                                <w:div w:id="243808704">
                                                  <w:marLeft w:val="0"/>
                                                  <w:marRight w:val="0"/>
                                                  <w:marTop w:val="0"/>
                                                  <w:marBottom w:val="0"/>
                                                  <w:divBdr>
                                                    <w:top w:val="none" w:sz="0" w:space="0" w:color="auto"/>
                                                    <w:left w:val="none" w:sz="0" w:space="0" w:color="auto"/>
                                                    <w:bottom w:val="none" w:sz="0" w:space="0" w:color="auto"/>
                                                    <w:right w:val="none" w:sz="0" w:space="0" w:color="auto"/>
                                                  </w:divBdr>
                                                  <w:divsChild>
                                                    <w:div w:id="1152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0591617">
      <w:bodyDiv w:val="1"/>
      <w:marLeft w:val="0"/>
      <w:marRight w:val="0"/>
      <w:marTop w:val="0"/>
      <w:marBottom w:val="0"/>
      <w:divBdr>
        <w:top w:val="none" w:sz="0" w:space="0" w:color="auto"/>
        <w:left w:val="none" w:sz="0" w:space="0" w:color="auto"/>
        <w:bottom w:val="none" w:sz="0" w:space="0" w:color="auto"/>
        <w:right w:val="none" w:sz="0" w:space="0" w:color="auto"/>
      </w:divBdr>
    </w:div>
    <w:div w:id="435255305">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63279733">
      <w:bodyDiv w:val="1"/>
      <w:marLeft w:val="0"/>
      <w:marRight w:val="0"/>
      <w:marTop w:val="0"/>
      <w:marBottom w:val="0"/>
      <w:divBdr>
        <w:top w:val="none" w:sz="0" w:space="0" w:color="auto"/>
        <w:left w:val="none" w:sz="0" w:space="0" w:color="auto"/>
        <w:bottom w:val="none" w:sz="0" w:space="0" w:color="auto"/>
        <w:right w:val="none" w:sz="0" w:space="0" w:color="auto"/>
      </w:divBdr>
      <w:divsChild>
        <w:div w:id="1771972808">
          <w:marLeft w:val="0"/>
          <w:marRight w:val="0"/>
          <w:marTop w:val="0"/>
          <w:marBottom w:val="0"/>
          <w:divBdr>
            <w:top w:val="none" w:sz="0" w:space="0" w:color="auto"/>
            <w:left w:val="none" w:sz="0" w:space="0" w:color="auto"/>
            <w:bottom w:val="none" w:sz="0" w:space="0" w:color="auto"/>
            <w:right w:val="none" w:sz="0" w:space="0" w:color="auto"/>
          </w:divBdr>
          <w:divsChild>
            <w:div w:id="395126192">
              <w:marLeft w:val="0"/>
              <w:marRight w:val="0"/>
              <w:marTop w:val="0"/>
              <w:marBottom w:val="0"/>
              <w:divBdr>
                <w:top w:val="none" w:sz="0" w:space="0" w:color="auto"/>
                <w:left w:val="none" w:sz="0" w:space="0" w:color="auto"/>
                <w:bottom w:val="none" w:sz="0" w:space="0" w:color="auto"/>
                <w:right w:val="none" w:sz="0" w:space="0" w:color="auto"/>
              </w:divBdr>
              <w:divsChild>
                <w:div w:id="658117600">
                  <w:marLeft w:val="0"/>
                  <w:marRight w:val="0"/>
                  <w:marTop w:val="0"/>
                  <w:marBottom w:val="0"/>
                  <w:divBdr>
                    <w:top w:val="none" w:sz="0" w:space="0" w:color="auto"/>
                    <w:left w:val="none" w:sz="0" w:space="0" w:color="auto"/>
                    <w:bottom w:val="none" w:sz="0" w:space="0" w:color="auto"/>
                    <w:right w:val="none" w:sz="0" w:space="0" w:color="auto"/>
                  </w:divBdr>
                  <w:divsChild>
                    <w:div w:id="1535538992">
                      <w:marLeft w:val="0"/>
                      <w:marRight w:val="0"/>
                      <w:marTop w:val="0"/>
                      <w:marBottom w:val="0"/>
                      <w:divBdr>
                        <w:top w:val="none" w:sz="0" w:space="0" w:color="auto"/>
                        <w:left w:val="none" w:sz="0" w:space="0" w:color="auto"/>
                        <w:bottom w:val="none" w:sz="0" w:space="0" w:color="auto"/>
                        <w:right w:val="none" w:sz="0" w:space="0" w:color="auto"/>
                      </w:divBdr>
                      <w:divsChild>
                        <w:div w:id="2075009989">
                          <w:marLeft w:val="0"/>
                          <w:marRight w:val="0"/>
                          <w:marTop w:val="0"/>
                          <w:marBottom w:val="0"/>
                          <w:divBdr>
                            <w:top w:val="none" w:sz="0" w:space="0" w:color="auto"/>
                            <w:left w:val="none" w:sz="0" w:space="0" w:color="auto"/>
                            <w:bottom w:val="none" w:sz="0" w:space="0" w:color="auto"/>
                            <w:right w:val="none" w:sz="0" w:space="0" w:color="auto"/>
                          </w:divBdr>
                          <w:divsChild>
                            <w:div w:id="1916891774">
                              <w:marLeft w:val="0"/>
                              <w:marRight w:val="0"/>
                              <w:marTop w:val="0"/>
                              <w:marBottom w:val="0"/>
                              <w:divBdr>
                                <w:top w:val="none" w:sz="0" w:space="0" w:color="auto"/>
                                <w:left w:val="none" w:sz="0" w:space="0" w:color="auto"/>
                                <w:bottom w:val="none" w:sz="0" w:space="0" w:color="auto"/>
                                <w:right w:val="none" w:sz="0" w:space="0" w:color="auto"/>
                              </w:divBdr>
                              <w:divsChild>
                                <w:div w:id="780689174">
                                  <w:marLeft w:val="0"/>
                                  <w:marRight w:val="0"/>
                                  <w:marTop w:val="0"/>
                                  <w:marBottom w:val="0"/>
                                  <w:divBdr>
                                    <w:top w:val="none" w:sz="0" w:space="0" w:color="auto"/>
                                    <w:left w:val="none" w:sz="0" w:space="0" w:color="auto"/>
                                    <w:bottom w:val="none" w:sz="0" w:space="0" w:color="auto"/>
                                    <w:right w:val="none" w:sz="0" w:space="0" w:color="auto"/>
                                  </w:divBdr>
                                  <w:divsChild>
                                    <w:div w:id="1599606739">
                                      <w:marLeft w:val="0"/>
                                      <w:marRight w:val="0"/>
                                      <w:marTop w:val="0"/>
                                      <w:marBottom w:val="0"/>
                                      <w:divBdr>
                                        <w:top w:val="none" w:sz="0" w:space="0" w:color="auto"/>
                                        <w:left w:val="none" w:sz="0" w:space="0" w:color="auto"/>
                                        <w:bottom w:val="none" w:sz="0" w:space="0" w:color="auto"/>
                                        <w:right w:val="none" w:sz="0" w:space="0" w:color="auto"/>
                                      </w:divBdr>
                                      <w:divsChild>
                                        <w:div w:id="1487553376">
                                          <w:marLeft w:val="0"/>
                                          <w:marRight w:val="0"/>
                                          <w:marTop w:val="0"/>
                                          <w:marBottom w:val="0"/>
                                          <w:divBdr>
                                            <w:top w:val="none" w:sz="0" w:space="0" w:color="auto"/>
                                            <w:left w:val="none" w:sz="0" w:space="0" w:color="auto"/>
                                            <w:bottom w:val="none" w:sz="0" w:space="0" w:color="auto"/>
                                            <w:right w:val="none" w:sz="0" w:space="0" w:color="auto"/>
                                          </w:divBdr>
                                          <w:divsChild>
                                            <w:div w:id="1705907697">
                                              <w:marLeft w:val="0"/>
                                              <w:marRight w:val="0"/>
                                              <w:marTop w:val="0"/>
                                              <w:marBottom w:val="0"/>
                                              <w:divBdr>
                                                <w:top w:val="none" w:sz="0" w:space="0" w:color="auto"/>
                                                <w:left w:val="none" w:sz="0" w:space="0" w:color="auto"/>
                                                <w:bottom w:val="none" w:sz="0" w:space="0" w:color="auto"/>
                                                <w:right w:val="none" w:sz="0" w:space="0" w:color="auto"/>
                                              </w:divBdr>
                                              <w:divsChild>
                                                <w:div w:id="1170490325">
                                                  <w:marLeft w:val="0"/>
                                                  <w:marRight w:val="0"/>
                                                  <w:marTop w:val="0"/>
                                                  <w:marBottom w:val="0"/>
                                                  <w:divBdr>
                                                    <w:top w:val="none" w:sz="0" w:space="0" w:color="auto"/>
                                                    <w:left w:val="none" w:sz="0" w:space="0" w:color="auto"/>
                                                    <w:bottom w:val="none" w:sz="0" w:space="0" w:color="auto"/>
                                                    <w:right w:val="none" w:sz="0" w:space="0" w:color="auto"/>
                                                  </w:divBdr>
                                                  <w:divsChild>
                                                    <w:div w:id="4791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987571">
      <w:bodyDiv w:val="1"/>
      <w:marLeft w:val="0"/>
      <w:marRight w:val="0"/>
      <w:marTop w:val="0"/>
      <w:marBottom w:val="0"/>
      <w:divBdr>
        <w:top w:val="none" w:sz="0" w:space="0" w:color="auto"/>
        <w:left w:val="none" w:sz="0" w:space="0" w:color="auto"/>
        <w:bottom w:val="none" w:sz="0" w:space="0" w:color="auto"/>
        <w:right w:val="none" w:sz="0" w:space="0" w:color="auto"/>
      </w:divBdr>
    </w:div>
    <w:div w:id="481894256">
      <w:bodyDiv w:val="1"/>
      <w:marLeft w:val="0"/>
      <w:marRight w:val="0"/>
      <w:marTop w:val="0"/>
      <w:marBottom w:val="0"/>
      <w:divBdr>
        <w:top w:val="none" w:sz="0" w:space="0" w:color="auto"/>
        <w:left w:val="none" w:sz="0" w:space="0" w:color="auto"/>
        <w:bottom w:val="none" w:sz="0" w:space="0" w:color="auto"/>
        <w:right w:val="none" w:sz="0" w:space="0" w:color="auto"/>
      </w:divBdr>
    </w:div>
    <w:div w:id="549465898">
      <w:bodyDiv w:val="1"/>
      <w:marLeft w:val="0"/>
      <w:marRight w:val="0"/>
      <w:marTop w:val="0"/>
      <w:marBottom w:val="0"/>
      <w:divBdr>
        <w:top w:val="none" w:sz="0" w:space="0" w:color="auto"/>
        <w:left w:val="none" w:sz="0" w:space="0" w:color="auto"/>
        <w:bottom w:val="none" w:sz="0" w:space="0" w:color="auto"/>
        <w:right w:val="none" w:sz="0" w:space="0" w:color="auto"/>
      </w:divBdr>
      <w:divsChild>
        <w:div w:id="766465932">
          <w:marLeft w:val="0"/>
          <w:marRight w:val="0"/>
          <w:marTop w:val="0"/>
          <w:marBottom w:val="0"/>
          <w:divBdr>
            <w:top w:val="none" w:sz="0" w:space="0" w:color="auto"/>
            <w:left w:val="none" w:sz="0" w:space="0" w:color="auto"/>
            <w:bottom w:val="none" w:sz="0" w:space="0" w:color="auto"/>
            <w:right w:val="none" w:sz="0" w:space="0" w:color="auto"/>
          </w:divBdr>
          <w:divsChild>
            <w:div w:id="1435904554">
              <w:marLeft w:val="0"/>
              <w:marRight w:val="0"/>
              <w:marTop w:val="0"/>
              <w:marBottom w:val="0"/>
              <w:divBdr>
                <w:top w:val="none" w:sz="0" w:space="0" w:color="auto"/>
                <w:left w:val="none" w:sz="0" w:space="0" w:color="auto"/>
                <w:bottom w:val="none" w:sz="0" w:space="0" w:color="auto"/>
                <w:right w:val="none" w:sz="0" w:space="0" w:color="auto"/>
              </w:divBdr>
              <w:divsChild>
                <w:div w:id="1759014175">
                  <w:marLeft w:val="0"/>
                  <w:marRight w:val="0"/>
                  <w:marTop w:val="0"/>
                  <w:marBottom w:val="0"/>
                  <w:divBdr>
                    <w:top w:val="none" w:sz="0" w:space="0" w:color="auto"/>
                    <w:left w:val="none" w:sz="0" w:space="0" w:color="auto"/>
                    <w:bottom w:val="none" w:sz="0" w:space="0" w:color="auto"/>
                    <w:right w:val="none" w:sz="0" w:space="0" w:color="auto"/>
                  </w:divBdr>
                  <w:divsChild>
                    <w:div w:id="16420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6888">
          <w:marLeft w:val="0"/>
          <w:marRight w:val="0"/>
          <w:marTop w:val="0"/>
          <w:marBottom w:val="0"/>
          <w:divBdr>
            <w:top w:val="none" w:sz="0" w:space="0" w:color="auto"/>
            <w:left w:val="none" w:sz="0" w:space="0" w:color="auto"/>
            <w:bottom w:val="none" w:sz="0" w:space="0" w:color="auto"/>
            <w:right w:val="none" w:sz="0" w:space="0" w:color="auto"/>
          </w:divBdr>
          <w:divsChild>
            <w:div w:id="283928325">
              <w:marLeft w:val="0"/>
              <w:marRight w:val="0"/>
              <w:marTop w:val="0"/>
              <w:marBottom w:val="0"/>
              <w:divBdr>
                <w:top w:val="none" w:sz="0" w:space="0" w:color="auto"/>
                <w:left w:val="none" w:sz="0" w:space="0" w:color="auto"/>
                <w:bottom w:val="none" w:sz="0" w:space="0" w:color="auto"/>
                <w:right w:val="none" w:sz="0" w:space="0" w:color="auto"/>
              </w:divBdr>
            </w:div>
          </w:divsChild>
        </w:div>
        <w:div w:id="639502064">
          <w:marLeft w:val="0"/>
          <w:marRight w:val="0"/>
          <w:marTop w:val="0"/>
          <w:marBottom w:val="0"/>
          <w:divBdr>
            <w:top w:val="none" w:sz="0" w:space="0" w:color="auto"/>
            <w:left w:val="none" w:sz="0" w:space="0" w:color="auto"/>
            <w:bottom w:val="none" w:sz="0" w:space="0" w:color="auto"/>
            <w:right w:val="none" w:sz="0" w:space="0" w:color="auto"/>
          </w:divBdr>
          <w:divsChild>
            <w:div w:id="1501316168">
              <w:marLeft w:val="0"/>
              <w:marRight w:val="0"/>
              <w:marTop w:val="0"/>
              <w:marBottom w:val="0"/>
              <w:divBdr>
                <w:top w:val="none" w:sz="0" w:space="0" w:color="auto"/>
                <w:left w:val="none" w:sz="0" w:space="0" w:color="auto"/>
                <w:bottom w:val="none" w:sz="0" w:space="0" w:color="auto"/>
                <w:right w:val="none" w:sz="0" w:space="0" w:color="auto"/>
              </w:divBdr>
              <w:divsChild>
                <w:div w:id="1193809126">
                  <w:marLeft w:val="0"/>
                  <w:marRight w:val="0"/>
                  <w:marTop w:val="0"/>
                  <w:marBottom w:val="0"/>
                  <w:divBdr>
                    <w:top w:val="none" w:sz="0" w:space="0" w:color="auto"/>
                    <w:left w:val="none" w:sz="0" w:space="0" w:color="auto"/>
                    <w:bottom w:val="none" w:sz="0" w:space="0" w:color="auto"/>
                    <w:right w:val="none" w:sz="0" w:space="0" w:color="auto"/>
                  </w:divBdr>
                  <w:divsChild>
                    <w:div w:id="1155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8422">
      <w:bodyDiv w:val="1"/>
      <w:marLeft w:val="0"/>
      <w:marRight w:val="0"/>
      <w:marTop w:val="0"/>
      <w:marBottom w:val="0"/>
      <w:divBdr>
        <w:top w:val="none" w:sz="0" w:space="0" w:color="auto"/>
        <w:left w:val="none" w:sz="0" w:space="0" w:color="auto"/>
        <w:bottom w:val="none" w:sz="0" w:space="0" w:color="auto"/>
        <w:right w:val="none" w:sz="0" w:space="0" w:color="auto"/>
      </w:divBdr>
      <w:divsChild>
        <w:div w:id="1911112433">
          <w:marLeft w:val="0"/>
          <w:marRight w:val="0"/>
          <w:marTop w:val="0"/>
          <w:marBottom w:val="0"/>
          <w:divBdr>
            <w:top w:val="none" w:sz="0" w:space="0" w:color="auto"/>
            <w:left w:val="none" w:sz="0" w:space="0" w:color="auto"/>
            <w:bottom w:val="none" w:sz="0" w:space="0" w:color="auto"/>
            <w:right w:val="none" w:sz="0" w:space="0" w:color="auto"/>
          </w:divBdr>
          <w:divsChild>
            <w:div w:id="1390878878">
              <w:marLeft w:val="0"/>
              <w:marRight w:val="0"/>
              <w:marTop w:val="0"/>
              <w:marBottom w:val="0"/>
              <w:divBdr>
                <w:top w:val="none" w:sz="0" w:space="0" w:color="auto"/>
                <w:left w:val="none" w:sz="0" w:space="0" w:color="auto"/>
                <w:bottom w:val="none" w:sz="0" w:space="0" w:color="auto"/>
                <w:right w:val="none" w:sz="0" w:space="0" w:color="auto"/>
              </w:divBdr>
              <w:divsChild>
                <w:div w:id="130366387">
                  <w:marLeft w:val="0"/>
                  <w:marRight w:val="0"/>
                  <w:marTop w:val="0"/>
                  <w:marBottom w:val="0"/>
                  <w:divBdr>
                    <w:top w:val="none" w:sz="0" w:space="0" w:color="auto"/>
                    <w:left w:val="none" w:sz="0" w:space="0" w:color="auto"/>
                    <w:bottom w:val="none" w:sz="0" w:space="0" w:color="auto"/>
                    <w:right w:val="none" w:sz="0" w:space="0" w:color="auto"/>
                  </w:divBdr>
                  <w:divsChild>
                    <w:div w:id="2077513734">
                      <w:marLeft w:val="0"/>
                      <w:marRight w:val="0"/>
                      <w:marTop w:val="0"/>
                      <w:marBottom w:val="0"/>
                      <w:divBdr>
                        <w:top w:val="none" w:sz="0" w:space="0" w:color="auto"/>
                        <w:left w:val="none" w:sz="0" w:space="0" w:color="auto"/>
                        <w:bottom w:val="none" w:sz="0" w:space="0" w:color="auto"/>
                        <w:right w:val="none" w:sz="0" w:space="0" w:color="auto"/>
                      </w:divBdr>
                      <w:divsChild>
                        <w:div w:id="538054577">
                          <w:marLeft w:val="0"/>
                          <w:marRight w:val="0"/>
                          <w:marTop w:val="0"/>
                          <w:marBottom w:val="0"/>
                          <w:divBdr>
                            <w:top w:val="none" w:sz="0" w:space="0" w:color="auto"/>
                            <w:left w:val="none" w:sz="0" w:space="0" w:color="auto"/>
                            <w:bottom w:val="none" w:sz="0" w:space="0" w:color="auto"/>
                            <w:right w:val="none" w:sz="0" w:space="0" w:color="auto"/>
                          </w:divBdr>
                          <w:divsChild>
                            <w:div w:id="332682914">
                              <w:marLeft w:val="0"/>
                              <w:marRight w:val="0"/>
                              <w:marTop w:val="0"/>
                              <w:marBottom w:val="0"/>
                              <w:divBdr>
                                <w:top w:val="none" w:sz="0" w:space="0" w:color="auto"/>
                                <w:left w:val="none" w:sz="0" w:space="0" w:color="auto"/>
                                <w:bottom w:val="none" w:sz="0" w:space="0" w:color="auto"/>
                                <w:right w:val="none" w:sz="0" w:space="0" w:color="auto"/>
                              </w:divBdr>
                              <w:divsChild>
                                <w:div w:id="1156336445">
                                  <w:marLeft w:val="0"/>
                                  <w:marRight w:val="0"/>
                                  <w:marTop w:val="0"/>
                                  <w:marBottom w:val="0"/>
                                  <w:divBdr>
                                    <w:top w:val="none" w:sz="0" w:space="0" w:color="auto"/>
                                    <w:left w:val="none" w:sz="0" w:space="0" w:color="auto"/>
                                    <w:bottom w:val="none" w:sz="0" w:space="0" w:color="auto"/>
                                    <w:right w:val="none" w:sz="0" w:space="0" w:color="auto"/>
                                  </w:divBdr>
                                  <w:divsChild>
                                    <w:div w:id="1619139434">
                                      <w:marLeft w:val="0"/>
                                      <w:marRight w:val="0"/>
                                      <w:marTop w:val="0"/>
                                      <w:marBottom w:val="0"/>
                                      <w:divBdr>
                                        <w:top w:val="none" w:sz="0" w:space="0" w:color="auto"/>
                                        <w:left w:val="none" w:sz="0" w:space="0" w:color="auto"/>
                                        <w:bottom w:val="none" w:sz="0" w:space="0" w:color="auto"/>
                                        <w:right w:val="none" w:sz="0" w:space="0" w:color="auto"/>
                                      </w:divBdr>
                                      <w:divsChild>
                                        <w:div w:id="2117678159">
                                          <w:marLeft w:val="0"/>
                                          <w:marRight w:val="0"/>
                                          <w:marTop w:val="0"/>
                                          <w:marBottom w:val="0"/>
                                          <w:divBdr>
                                            <w:top w:val="none" w:sz="0" w:space="0" w:color="auto"/>
                                            <w:left w:val="none" w:sz="0" w:space="0" w:color="auto"/>
                                            <w:bottom w:val="none" w:sz="0" w:space="0" w:color="auto"/>
                                            <w:right w:val="none" w:sz="0" w:space="0" w:color="auto"/>
                                          </w:divBdr>
                                          <w:divsChild>
                                            <w:div w:id="1962835453">
                                              <w:marLeft w:val="0"/>
                                              <w:marRight w:val="0"/>
                                              <w:marTop w:val="0"/>
                                              <w:marBottom w:val="0"/>
                                              <w:divBdr>
                                                <w:top w:val="none" w:sz="0" w:space="0" w:color="auto"/>
                                                <w:left w:val="none" w:sz="0" w:space="0" w:color="auto"/>
                                                <w:bottom w:val="none" w:sz="0" w:space="0" w:color="auto"/>
                                                <w:right w:val="none" w:sz="0" w:space="0" w:color="auto"/>
                                              </w:divBdr>
                                              <w:divsChild>
                                                <w:div w:id="1485969993">
                                                  <w:marLeft w:val="0"/>
                                                  <w:marRight w:val="0"/>
                                                  <w:marTop w:val="0"/>
                                                  <w:marBottom w:val="0"/>
                                                  <w:divBdr>
                                                    <w:top w:val="none" w:sz="0" w:space="0" w:color="auto"/>
                                                    <w:left w:val="none" w:sz="0" w:space="0" w:color="auto"/>
                                                    <w:bottom w:val="none" w:sz="0" w:space="0" w:color="auto"/>
                                                    <w:right w:val="none" w:sz="0" w:space="0" w:color="auto"/>
                                                  </w:divBdr>
                                                  <w:divsChild>
                                                    <w:div w:id="6271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285224">
      <w:bodyDiv w:val="1"/>
      <w:marLeft w:val="0"/>
      <w:marRight w:val="0"/>
      <w:marTop w:val="0"/>
      <w:marBottom w:val="0"/>
      <w:divBdr>
        <w:top w:val="none" w:sz="0" w:space="0" w:color="auto"/>
        <w:left w:val="none" w:sz="0" w:space="0" w:color="auto"/>
        <w:bottom w:val="none" w:sz="0" w:space="0" w:color="auto"/>
        <w:right w:val="none" w:sz="0" w:space="0" w:color="auto"/>
      </w:divBdr>
    </w:div>
    <w:div w:id="622075460">
      <w:bodyDiv w:val="1"/>
      <w:marLeft w:val="0"/>
      <w:marRight w:val="0"/>
      <w:marTop w:val="0"/>
      <w:marBottom w:val="0"/>
      <w:divBdr>
        <w:top w:val="none" w:sz="0" w:space="0" w:color="auto"/>
        <w:left w:val="none" w:sz="0" w:space="0" w:color="auto"/>
        <w:bottom w:val="none" w:sz="0" w:space="0" w:color="auto"/>
        <w:right w:val="none" w:sz="0" w:space="0" w:color="auto"/>
      </w:divBdr>
      <w:divsChild>
        <w:div w:id="1568227864">
          <w:marLeft w:val="0"/>
          <w:marRight w:val="0"/>
          <w:marTop w:val="0"/>
          <w:marBottom w:val="0"/>
          <w:divBdr>
            <w:top w:val="none" w:sz="0" w:space="0" w:color="auto"/>
            <w:left w:val="none" w:sz="0" w:space="0" w:color="auto"/>
            <w:bottom w:val="none" w:sz="0" w:space="0" w:color="auto"/>
            <w:right w:val="none" w:sz="0" w:space="0" w:color="auto"/>
          </w:divBdr>
          <w:divsChild>
            <w:div w:id="258687400">
              <w:marLeft w:val="0"/>
              <w:marRight w:val="0"/>
              <w:marTop w:val="0"/>
              <w:marBottom w:val="0"/>
              <w:divBdr>
                <w:top w:val="none" w:sz="0" w:space="0" w:color="auto"/>
                <w:left w:val="none" w:sz="0" w:space="0" w:color="auto"/>
                <w:bottom w:val="none" w:sz="0" w:space="0" w:color="auto"/>
                <w:right w:val="none" w:sz="0" w:space="0" w:color="auto"/>
              </w:divBdr>
              <w:divsChild>
                <w:div w:id="87510592">
                  <w:marLeft w:val="0"/>
                  <w:marRight w:val="0"/>
                  <w:marTop w:val="0"/>
                  <w:marBottom w:val="0"/>
                  <w:divBdr>
                    <w:top w:val="none" w:sz="0" w:space="0" w:color="auto"/>
                    <w:left w:val="none" w:sz="0" w:space="0" w:color="auto"/>
                    <w:bottom w:val="none" w:sz="0" w:space="0" w:color="auto"/>
                    <w:right w:val="none" w:sz="0" w:space="0" w:color="auto"/>
                  </w:divBdr>
                  <w:divsChild>
                    <w:div w:id="1744183155">
                      <w:marLeft w:val="0"/>
                      <w:marRight w:val="0"/>
                      <w:marTop w:val="0"/>
                      <w:marBottom w:val="0"/>
                      <w:divBdr>
                        <w:top w:val="none" w:sz="0" w:space="0" w:color="auto"/>
                        <w:left w:val="none" w:sz="0" w:space="0" w:color="auto"/>
                        <w:bottom w:val="none" w:sz="0" w:space="0" w:color="auto"/>
                        <w:right w:val="none" w:sz="0" w:space="0" w:color="auto"/>
                      </w:divBdr>
                      <w:divsChild>
                        <w:div w:id="716976091">
                          <w:marLeft w:val="0"/>
                          <w:marRight w:val="0"/>
                          <w:marTop w:val="0"/>
                          <w:marBottom w:val="0"/>
                          <w:divBdr>
                            <w:top w:val="none" w:sz="0" w:space="0" w:color="auto"/>
                            <w:left w:val="none" w:sz="0" w:space="0" w:color="auto"/>
                            <w:bottom w:val="none" w:sz="0" w:space="0" w:color="auto"/>
                            <w:right w:val="none" w:sz="0" w:space="0" w:color="auto"/>
                          </w:divBdr>
                          <w:divsChild>
                            <w:div w:id="208222637">
                              <w:marLeft w:val="0"/>
                              <w:marRight w:val="0"/>
                              <w:marTop w:val="0"/>
                              <w:marBottom w:val="0"/>
                              <w:divBdr>
                                <w:top w:val="none" w:sz="0" w:space="0" w:color="auto"/>
                                <w:left w:val="none" w:sz="0" w:space="0" w:color="auto"/>
                                <w:bottom w:val="none" w:sz="0" w:space="0" w:color="auto"/>
                                <w:right w:val="none" w:sz="0" w:space="0" w:color="auto"/>
                              </w:divBdr>
                              <w:divsChild>
                                <w:div w:id="1071193250">
                                  <w:marLeft w:val="0"/>
                                  <w:marRight w:val="0"/>
                                  <w:marTop w:val="0"/>
                                  <w:marBottom w:val="0"/>
                                  <w:divBdr>
                                    <w:top w:val="none" w:sz="0" w:space="0" w:color="auto"/>
                                    <w:left w:val="none" w:sz="0" w:space="0" w:color="auto"/>
                                    <w:bottom w:val="none" w:sz="0" w:space="0" w:color="auto"/>
                                    <w:right w:val="none" w:sz="0" w:space="0" w:color="auto"/>
                                  </w:divBdr>
                                  <w:divsChild>
                                    <w:div w:id="1162312250">
                                      <w:marLeft w:val="0"/>
                                      <w:marRight w:val="0"/>
                                      <w:marTop w:val="0"/>
                                      <w:marBottom w:val="0"/>
                                      <w:divBdr>
                                        <w:top w:val="none" w:sz="0" w:space="0" w:color="auto"/>
                                        <w:left w:val="none" w:sz="0" w:space="0" w:color="auto"/>
                                        <w:bottom w:val="none" w:sz="0" w:space="0" w:color="auto"/>
                                        <w:right w:val="none" w:sz="0" w:space="0" w:color="auto"/>
                                      </w:divBdr>
                                      <w:divsChild>
                                        <w:div w:id="1277716562">
                                          <w:marLeft w:val="0"/>
                                          <w:marRight w:val="0"/>
                                          <w:marTop w:val="0"/>
                                          <w:marBottom w:val="0"/>
                                          <w:divBdr>
                                            <w:top w:val="none" w:sz="0" w:space="0" w:color="auto"/>
                                            <w:left w:val="none" w:sz="0" w:space="0" w:color="auto"/>
                                            <w:bottom w:val="none" w:sz="0" w:space="0" w:color="auto"/>
                                            <w:right w:val="none" w:sz="0" w:space="0" w:color="auto"/>
                                          </w:divBdr>
                                          <w:divsChild>
                                            <w:div w:id="942538887">
                                              <w:marLeft w:val="0"/>
                                              <w:marRight w:val="0"/>
                                              <w:marTop w:val="0"/>
                                              <w:marBottom w:val="0"/>
                                              <w:divBdr>
                                                <w:top w:val="none" w:sz="0" w:space="0" w:color="auto"/>
                                                <w:left w:val="none" w:sz="0" w:space="0" w:color="auto"/>
                                                <w:bottom w:val="none" w:sz="0" w:space="0" w:color="auto"/>
                                                <w:right w:val="none" w:sz="0" w:space="0" w:color="auto"/>
                                              </w:divBdr>
                                              <w:divsChild>
                                                <w:div w:id="721947040">
                                                  <w:marLeft w:val="0"/>
                                                  <w:marRight w:val="0"/>
                                                  <w:marTop w:val="0"/>
                                                  <w:marBottom w:val="0"/>
                                                  <w:divBdr>
                                                    <w:top w:val="none" w:sz="0" w:space="0" w:color="auto"/>
                                                    <w:left w:val="none" w:sz="0" w:space="0" w:color="auto"/>
                                                    <w:bottom w:val="none" w:sz="0" w:space="0" w:color="auto"/>
                                                    <w:right w:val="none" w:sz="0" w:space="0" w:color="auto"/>
                                                  </w:divBdr>
                                                  <w:divsChild>
                                                    <w:div w:id="1377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51390">
      <w:bodyDiv w:val="1"/>
      <w:marLeft w:val="0"/>
      <w:marRight w:val="0"/>
      <w:marTop w:val="0"/>
      <w:marBottom w:val="0"/>
      <w:divBdr>
        <w:top w:val="none" w:sz="0" w:space="0" w:color="auto"/>
        <w:left w:val="none" w:sz="0" w:space="0" w:color="auto"/>
        <w:bottom w:val="none" w:sz="0" w:space="0" w:color="auto"/>
        <w:right w:val="none" w:sz="0" w:space="0" w:color="auto"/>
      </w:divBdr>
      <w:divsChild>
        <w:div w:id="1879510742">
          <w:marLeft w:val="0"/>
          <w:marRight w:val="0"/>
          <w:marTop w:val="0"/>
          <w:marBottom w:val="0"/>
          <w:divBdr>
            <w:top w:val="none" w:sz="0" w:space="0" w:color="auto"/>
            <w:left w:val="none" w:sz="0" w:space="0" w:color="auto"/>
            <w:bottom w:val="none" w:sz="0" w:space="0" w:color="auto"/>
            <w:right w:val="none" w:sz="0" w:space="0" w:color="auto"/>
          </w:divBdr>
          <w:divsChild>
            <w:div w:id="1656103057">
              <w:marLeft w:val="0"/>
              <w:marRight w:val="0"/>
              <w:marTop w:val="0"/>
              <w:marBottom w:val="0"/>
              <w:divBdr>
                <w:top w:val="none" w:sz="0" w:space="0" w:color="auto"/>
                <w:left w:val="none" w:sz="0" w:space="0" w:color="auto"/>
                <w:bottom w:val="none" w:sz="0" w:space="0" w:color="auto"/>
                <w:right w:val="none" w:sz="0" w:space="0" w:color="auto"/>
              </w:divBdr>
              <w:divsChild>
                <w:div w:id="1374422699">
                  <w:marLeft w:val="0"/>
                  <w:marRight w:val="0"/>
                  <w:marTop w:val="0"/>
                  <w:marBottom w:val="0"/>
                  <w:divBdr>
                    <w:top w:val="none" w:sz="0" w:space="0" w:color="auto"/>
                    <w:left w:val="none" w:sz="0" w:space="0" w:color="auto"/>
                    <w:bottom w:val="none" w:sz="0" w:space="0" w:color="auto"/>
                    <w:right w:val="none" w:sz="0" w:space="0" w:color="auto"/>
                  </w:divBdr>
                  <w:divsChild>
                    <w:div w:id="1707439982">
                      <w:marLeft w:val="0"/>
                      <w:marRight w:val="0"/>
                      <w:marTop w:val="0"/>
                      <w:marBottom w:val="0"/>
                      <w:divBdr>
                        <w:top w:val="none" w:sz="0" w:space="0" w:color="auto"/>
                        <w:left w:val="none" w:sz="0" w:space="0" w:color="auto"/>
                        <w:bottom w:val="none" w:sz="0" w:space="0" w:color="auto"/>
                        <w:right w:val="none" w:sz="0" w:space="0" w:color="auto"/>
                      </w:divBdr>
                      <w:divsChild>
                        <w:div w:id="1172064100">
                          <w:marLeft w:val="0"/>
                          <w:marRight w:val="0"/>
                          <w:marTop w:val="0"/>
                          <w:marBottom w:val="0"/>
                          <w:divBdr>
                            <w:top w:val="none" w:sz="0" w:space="0" w:color="auto"/>
                            <w:left w:val="none" w:sz="0" w:space="0" w:color="auto"/>
                            <w:bottom w:val="none" w:sz="0" w:space="0" w:color="auto"/>
                            <w:right w:val="none" w:sz="0" w:space="0" w:color="auto"/>
                          </w:divBdr>
                          <w:divsChild>
                            <w:div w:id="906452510">
                              <w:marLeft w:val="0"/>
                              <w:marRight w:val="0"/>
                              <w:marTop w:val="0"/>
                              <w:marBottom w:val="0"/>
                              <w:divBdr>
                                <w:top w:val="none" w:sz="0" w:space="0" w:color="auto"/>
                                <w:left w:val="none" w:sz="0" w:space="0" w:color="auto"/>
                                <w:bottom w:val="none" w:sz="0" w:space="0" w:color="auto"/>
                                <w:right w:val="none" w:sz="0" w:space="0" w:color="auto"/>
                              </w:divBdr>
                              <w:divsChild>
                                <w:div w:id="2118868173">
                                  <w:marLeft w:val="0"/>
                                  <w:marRight w:val="0"/>
                                  <w:marTop w:val="0"/>
                                  <w:marBottom w:val="0"/>
                                  <w:divBdr>
                                    <w:top w:val="none" w:sz="0" w:space="0" w:color="auto"/>
                                    <w:left w:val="none" w:sz="0" w:space="0" w:color="auto"/>
                                    <w:bottom w:val="none" w:sz="0" w:space="0" w:color="auto"/>
                                    <w:right w:val="none" w:sz="0" w:space="0" w:color="auto"/>
                                  </w:divBdr>
                                  <w:divsChild>
                                    <w:div w:id="166410874">
                                      <w:marLeft w:val="0"/>
                                      <w:marRight w:val="0"/>
                                      <w:marTop w:val="0"/>
                                      <w:marBottom w:val="0"/>
                                      <w:divBdr>
                                        <w:top w:val="none" w:sz="0" w:space="0" w:color="auto"/>
                                        <w:left w:val="none" w:sz="0" w:space="0" w:color="auto"/>
                                        <w:bottom w:val="none" w:sz="0" w:space="0" w:color="auto"/>
                                        <w:right w:val="none" w:sz="0" w:space="0" w:color="auto"/>
                                      </w:divBdr>
                                      <w:divsChild>
                                        <w:div w:id="1352760342">
                                          <w:marLeft w:val="0"/>
                                          <w:marRight w:val="0"/>
                                          <w:marTop w:val="0"/>
                                          <w:marBottom w:val="0"/>
                                          <w:divBdr>
                                            <w:top w:val="none" w:sz="0" w:space="0" w:color="auto"/>
                                            <w:left w:val="none" w:sz="0" w:space="0" w:color="auto"/>
                                            <w:bottom w:val="none" w:sz="0" w:space="0" w:color="auto"/>
                                            <w:right w:val="none" w:sz="0" w:space="0" w:color="auto"/>
                                          </w:divBdr>
                                          <w:divsChild>
                                            <w:div w:id="892036729">
                                              <w:marLeft w:val="0"/>
                                              <w:marRight w:val="0"/>
                                              <w:marTop w:val="0"/>
                                              <w:marBottom w:val="0"/>
                                              <w:divBdr>
                                                <w:top w:val="none" w:sz="0" w:space="0" w:color="auto"/>
                                                <w:left w:val="none" w:sz="0" w:space="0" w:color="auto"/>
                                                <w:bottom w:val="none" w:sz="0" w:space="0" w:color="auto"/>
                                                <w:right w:val="none" w:sz="0" w:space="0" w:color="auto"/>
                                              </w:divBdr>
                                              <w:divsChild>
                                                <w:div w:id="886334295">
                                                  <w:marLeft w:val="0"/>
                                                  <w:marRight w:val="0"/>
                                                  <w:marTop w:val="0"/>
                                                  <w:marBottom w:val="0"/>
                                                  <w:divBdr>
                                                    <w:top w:val="none" w:sz="0" w:space="0" w:color="auto"/>
                                                    <w:left w:val="none" w:sz="0" w:space="0" w:color="auto"/>
                                                    <w:bottom w:val="none" w:sz="0" w:space="0" w:color="auto"/>
                                                    <w:right w:val="none" w:sz="0" w:space="0" w:color="auto"/>
                                                  </w:divBdr>
                                                  <w:divsChild>
                                                    <w:div w:id="17802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085072">
      <w:bodyDiv w:val="1"/>
      <w:marLeft w:val="0"/>
      <w:marRight w:val="0"/>
      <w:marTop w:val="0"/>
      <w:marBottom w:val="0"/>
      <w:divBdr>
        <w:top w:val="none" w:sz="0" w:space="0" w:color="auto"/>
        <w:left w:val="none" w:sz="0" w:space="0" w:color="auto"/>
        <w:bottom w:val="none" w:sz="0" w:space="0" w:color="auto"/>
        <w:right w:val="none" w:sz="0" w:space="0" w:color="auto"/>
      </w:divBdr>
    </w:div>
    <w:div w:id="644547756">
      <w:bodyDiv w:val="1"/>
      <w:marLeft w:val="0"/>
      <w:marRight w:val="0"/>
      <w:marTop w:val="0"/>
      <w:marBottom w:val="0"/>
      <w:divBdr>
        <w:top w:val="none" w:sz="0" w:space="0" w:color="auto"/>
        <w:left w:val="none" w:sz="0" w:space="0" w:color="auto"/>
        <w:bottom w:val="none" w:sz="0" w:space="0" w:color="auto"/>
        <w:right w:val="none" w:sz="0" w:space="0" w:color="auto"/>
      </w:divBdr>
    </w:div>
    <w:div w:id="652373199">
      <w:bodyDiv w:val="1"/>
      <w:marLeft w:val="0"/>
      <w:marRight w:val="0"/>
      <w:marTop w:val="0"/>
      <w:marBottom w:val="0"/>
      <w:divBdr>
        <w:top w:val="none" w:sz="0" w:space="0" w:color="auto"/>
        <w:left w:val="none" w:sz="0" w:space="0" w:color="auto"/>
        <w:bottom w:val="none" w:sz="0" w:space="0" w:color="auto"/>
        <w:right w:val="none" w:sz="0" w:space="0" w:color="auto"/>
      </w:divBdr>
    </w:div>
    <w:div w:id="655064570">
      <w:bodyDiv w:val="1"/>
      <w:marLeft w:val="0"/>
      <w:marRight w:val="0"/>
      <w:marTop w:val="0"/>
      <w:marBottom w:val="0"/>
      <w:divBdr>
        <w:top w:val="none" w:sz="0" w:space="0" w:color="auto"/>
        <w:left w:val="none" w:sz="0" w:space="0" w:color="auto"/>
        <w:bottom w:val="none" w:sz="0" w:space="0" w:color="auto"/>
        <w:right w:val="none" w:sz="0" w:space="0" w:color="auto"/>
      </w:divBdr>
    </w:div>
    <w:div w:id="662314110">
      <w:bodyDiv w:val="1"/>
      <w:marLeft w:val="0"/>
      <w:marRight w:val="0"/>
      <w:marTop w:val="0"/>
      <w:marBottom w:val="0"/>
      <w:divBdr>
        <w:top w:val="none" w:sz="0" w:space="0" w:color="auto"/>
        <w:left w:val="none" w:sz="0" w:space="0" w:color="auto"/>
        <w:bottom w:val="none" w:sz="0" w:space="0" w:color="auto"/>
        <w:right w:val="none" w:sz="0" w:space="0" w:color="auto"/>
      </w:divBdr>
    </w:div>
    <w:div w:id="662589550">
      <w:bodyDiv w:val="1"/>
      <w:marLeft w:val="0"/>
      <w:marRight w:val="0"/>
      <w:marTop w:val="0"/>
      <w:marBottom w:val="0"/>
      <w:divBdr>
        <w:top w:val="none" w:sz="0" w:space="0" w:color="auto"/>
        <w:left w:val="none" w:sz="0" w:space="0" w:color="auto"/>
        <w:bottom w:val="none" w:sz="0" w:space="0" w:color="auto"/>
        <w:right w:val="none" w:sz="0" w:space="0" w:color="auto"/>
      </w:divBdr>
    </w:div>
    <w:div w:id="664087654">
      <w:bodyDiv w:val="1"/>
      <w:marLeft w:val="0"/>
      <w:marRight w:val="0"/>
      <w:marTop w:val="0"/>
      <w:marBottom w:val="0"/>
      <w:divBdr>
        <w:top w:val="none" w:sz="0" w:space="0" w:color="auto"/>
        <w:left w:val="none" w:sz="0" w:space="0" w:color="auto"/>
        <w:bottom w:val="none" w:sz="0" w:space="0" w:color="auto"/>
        <w:right w:val="none" w:sz="0" w:space="0" w:color="auto"/>
      </w:divBdr>
    </w:div>
    <w:div w:id="673268225">
      <w:bodyDiv w:val="1"/>
      <w:marLeft w:val="0"/>
      <w:marRight w:val="0"/>
      <w:marTop w:val="0"/>
      <w:marBottom w:val="0"/>
      <w:divBdr>
        <w:top w:val="none" w:sz="0" w:space="0" w:color="auto"/>
        <w:left w:val="none" w:sz="0" w:space="0" w:color="auto"/>
        <w:bottom w:val="none" w:sz="0" w:space="0" w:color="auto"/>
        <w:right w:val="none" w:sz="0" w:space="0" w:color="auto"/>
      </w:divBdr>
    </w:div>
    <w:div w:id="708800981">
      <w:bodyDiv w:val="1"/>
      <w:marLeft w:val="0"/>
      <w:marRight w:val="0"/>
      <w:marTop w:val="0"/>
      <w:marBottom w:val="0"/>
      <w:divBdr>
        <w:top w:val="none" w:sz="0" w:space="0" w:color="auto"/>
        <w:left w:val="none" w:sz="0" w:space="0" w:color="auto"/>
        <w:bottom w:val="none" w:sz="0" w:space="0" w:color="auto"/>
        <w:right w:val="none" w:sz="0" w:space="0" w:color="auto"/>
      </w:divBdr>
    </w:div>
    <w:div w:id="711224201">
      <w:bodyDiv w:val="1"/>
      <w:marLeft w:val="0"/>
      <w:marRight w:val="0"/>
      <w:marTop w:val="0"/>
      <w:marBottom w:val="0"/>
      <w:divBdr>
        <w:top w:val="none" w:sz="0" w:space="0" w:color="auto"/>
        <w:left w:val="none" w:sz="0" w:space="0" w:color="auto"/>
        <w:bottom w:val="none" w:sz="0" w:space="0" w:color="auto"/>
        <w:right w:val="none" w:sz="0" w:space="0" w:color="auto"/>
      </w:divBdr>
    </w:div>
    <w:div w:id="716978555">
      <w:bodyDiv w:val="1"/>
      <w:marLeft w:val="0"/>
      <w:marRight w:val="0"/>
      <w:marTop w:val="0"/>
      <w:marBottom w:val="0"/>
      <w:divBdr>
        <w:top w:val="none" w:sz="0" w:space="0" w:color="auto"/>
        <w:left w:val="none" w:sz="0" w:space="0" w:color="auto"/>
        <w:bottom w:val="none" w:sz="0" w:space="0" w:color="auto"/>
        <w:right w:val="none" w:sz="0" w:space="0" w:color="auto"/>
      </w:divBdr>
      <w:divsChild>
        <w:div w:id="1588923574">
          <w:marLeft w:val="0"/>
          <w:marRight w:val="0"/>
          <w:marTop w:val="0"/>
          <w:marBottom w:val="0"/>
          <w:divBdr>
            <w:top w:val="none" w:sz="0" w:space="0" w:color="auto"/>
            <w:left w:val="none" w:sz="0" w:space="0" w:color="auto"/>
            <w:bottom w:val="none" w:sz="0" w:space="0" w:color="auto"/>
            <w:right w:val="none" w:sz="0" w:space="0" w:color="auto"/>
          </w:divBdr>
          <w:divsChild>
            <w:div w:id="1069619528">
              <w:marLeft w:val="0"/>
              <w:marRight w:val="0"/>
              <w:marTop w:val="0"/>
              <w:marBottom w:val="0"/>
              <w:divBdr>
                <w:top w:val="none" w:sz="0" w:space="0" w:color="auto"/>
                <w:left w:val="none" w:sz="0" w:space="0" w:color="auto"/>
                <w:bottom w:val="none" w:sz="0" w:space="0" w:color="auto"/>
                <w:right w:val="none" w:sz="0" w:space="0" w:color="auto"/>
              </w:divBdr>
              <w:divsChild>
                <w:div w:id="823354984">
                  <w:marLeft w:val="0"/>
                  <w:marRight w:val="0"/>
                  <w:marTop w:val="0"/>
                  <w:marBottom w:val="0"/>
                  <w:divBdr>
                    <w:top w:val="none" w:sz="0" w:space="0" w:color="auto"/>
                    <w:left w:val="none" w:sz="0" w:space="0" w:color="auto"/>
                    <w:bottom w:val="none" w:sz="0" w:space="0" w:color="auto"/>
                    <w:right w:val="none" w:sz="0" w:space="0" w:color="auto"/>
                  </w:divBdr>
                  <w:divsChild>
                    <w:div w:id="907574726">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997459047">
                              <w:marLeft w:val="0"/>
                              <w:marRight w:val="0"/>
                              <w:marTop w:val="0"/>
                              <w:marBottom w:val="0"/>
                              <w:divBdr>
                                <w:top w:val="none" w:sz="0" w:space="0" w:color="auto"/>
                                <w:left w:val="none" w:sz="0" w:space="0" w:color="auto"/>
                                <w:bottom w:val="none" w:sz="0" w:space="0" w:color="auto"/>
                                <w:right w:val="none" w:sz="0" w:space="0" w:color="auto"/>
                              </w:divBdr>
                              <w:divsChild>
                                <w:div w:id="370308132">
                                  <w:marLeft w:val="0"/>
                                  <w:marRight w:val="0"/>
                                  <w:marTop w:val="0"/>
                                  <w:marBottom w:val="0"/>
                                  <w:divBdr>
                                    <w:top w:val="none" w:sz="0" w:space="0" w:color="auto"/>
                                    <w:left w:val="none" w:sz="0" w:space="0" w:color="auto"/>
                                    <w:bottom w:val="none" w:sz="0" w:space="0" w:color="auto"/>
                                    <w:right w:val="none" w:sz="0" w:space="0" w:color="auto"/>
                                  </w:divBdr>
                                  <w:divsChild>
                                    <w:div w:id="2103645906">
                                      <w:marLeft w:val="0"/>
                                      <w:marRight w:val="0"/>
                                      <w:marTop w:val="0"/>
                                      <w:marBottom w:val="0"/>
                                      <w:divBdr>
                                        <w:top w:val="none" w:sz="0" w:space="0" w:color="auto"/>
                                        <w:left w:val="none" w:sz="0" w:space="0" w:color="auto"/>
                                        <w:bottom w:val="none" w:sz="0" w:space="0" w:color="auto"/>
                                        <w:right w:val="none" w:sz="0" w:space="0" w:color="auto"/>
                                      </w:divBdr>
                                      <w:divsChild>
                                        <w:div w:id="1654287421">
                                          <w:marLeft w:val="0"/>
                                          <w:marRight w:val="0"/>
                                          <w:marTop w:val="0"/>
                                          <w:marBottom w:val="0"/>
                                          <w:divBdr>
                                            <w:top w:val="none" w:sz="0" w:space="0" w:color="auto"/>
                                            <w:left w:val="none" w:sz="0" w:space="0" w:color="auto"/>
                                            <w:bottom w:val="none" w:sz="0" w:space="0" w:color="auto"/>
                                            <w:right w:val="none" w:sz="0" w:space="0" w:color="auto"/>
                                          </w:divBdr>
                                          <w:divsChild>
                                            <w:div w:id="1986424659">
                                              <w:marLeft w:val="0"/>
                                              <w:marRight w:val="0"/>
                                              <w:marTop w:val="0"/>
                                              <w:marBottom w:val="0"/>
                                              <w:divBdr>
                                                <w:top w:val="none" w:sz="0" w:space="0" w:color="auto"/>
                                                <w:left w:val="none" w:sz="0" w:space="0" w:color="auto"/>
                                                <w:bottom w:val="none" w:sz="0" w:space="0" w:color="auto"/>
                                                <w:right w:val="none" w:sz="0" w:space="0" w:color="auto"/>
                                              </w:divBdr>
                                              <w:divsChild>
                                                <w:div w:id="328408312">
                                                  <w:marLeft w:val="0"/>
                                                  <w:marRight w:val="0"/>
                                                  <w:marTop w:val="0"/>
                                                  <w:marBottom w:val="0"/>
                                                  <w:divBdr>
                                                    <w:top w:val="none" w:sz="0" w:space="0" w:color="auto"/>
                                                    <w:left w:val="none" w:sz="0" w:space="0" w:color="auto"/>
                                                    <w:bottom w:val="none" w:sz="0" w:space="0" w:color="auto"/>
                                                    <w:right w:val="none" w:sz="0" w:space="0" w:color="auto"/>
                                                  </w:divBdr>
                                                  <w:divsChild>
                                                    <w:div w:id="5313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729203">
      <w:bodyDiv w:val="1"/>
      <w:marLeft w:val="0"/>
      <w:marRight w:val="0"/>
      <w:marTop w:val="0"/>
      <w:marBottom w:val="0"/>
      <w:divBdr>
        <w:top w:val="none" w:sz="0" w:space="0" w:color="auto"/>
        <w:left w:val="none" w:sz="0" w:space="0" w:color="auto"/>
        <w:bottom w:val="none" w:sz="0" w:space="0" w:color="auto"/>
        <w:right w:val="none" w:sz="0" w:space="0" w:color="auto"/>
      </w:divBdr>
    </w:div>
    <w:div w:id="734621042">
      <w:bodyDiv w:val="1"/>
      <w:marLeft w:val="0"/>
      <w:marRight w:val="0"/>
      <w:marTop w:val="0"/>
      <w:marBottom w:val="0"/>
      <w:divBdr>
        <w:top w:val="none" w:sz="0" w:space="0" w:color="auto"/>
        <w:left w:val="none" w:sz="0" w:space="0" w:color="auto"/>
        <w:bottom w:val="none" w:sz="0" w:space="0" w:color="auto"/>
        <w:right w:val="none" w:sz="0" w:space="0" w:color="auto"/>
      </w:divBdr>
    </w:div>
    <w:div w:id="745565500">
      <w:bodyDiv w:val="1"/>
      <w:marLeft w:val="0"/>
      <w:marRight w:val="0"/>
      <w:marTop w:val="0"/>
      <w:marBottom w:val="0"/>
      <w:divBdr>
        <w:top w:val="none" w:sz="0" w:space="0" w:color="auto"/>
        <w:left w:val="none" w:sz="0" w:space="0" w:color="auto"/>
        <w:bottom w:val="none" w:sz="0" w:space="0" w:color="auto"/>
        <w:right w:val="none" w:sz="0" w:space="0" w:color="auto"/>
      </w:divBdr>
    </w:div>
    <w:div w:id="761414398">
      <w:bodyDiv w:val="1"/>
      <w:marLeft w:val="0"/>
      <w:marRight w:val="0"/>
      <w:marTop w:val="0"/>
      <w:marBottom w:val="0"/>
      <w:divBdr>
        <w:top w:val="none" w:sz="0" w:space="0" w:color="auto"/>
        <w:left w:val="none" w:sz="0" w:space="0" w:color="auto"/>
        <w:bottom w:val="none" w:sz="0" w:space="0" w:color="auto"/>
        <w:right w:val="none" w:sz="0" w:space="0" w:color="auto"/>
      </w:divBdr>
    </w:div>
    <w:div w:id="775902738">
      <w:bodyDiv w:val="1"/>
      <w:marLeft w:val="0"/>
      <w:marRight w:val="0"/>
      <w:marTop w:val="0"/>
      <w:marBottom w:val="0"/>
      <w:divBdr>
        <w:top w:val="none" w:sz="0" w:space="0" w:color="auto"/>
        <w:left w:val="none" w:sz="0" w:space="0" w:color="auto"/>
        <w:bottom w:val="none" w:sz="0" w:space="0" w:color="auto"/>
        <w:right w:val="none" w:sz="0" w:space="0" w:color="auto"/>
      </w:divBdr>
    </w:div>
    <w:div w:id="778528566">
      <w:bodyDiv w:val="1"/>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sChild>
            <w:div w:id="962926723">
              <w:marLeft w:val="0"/>
              <w:marRight w:val="0"/>
              <w:marTop w:val="0"/>
              <w:marBottom w:val="0"/>
              <w:divBdr>
                <w:top w:val="none" w:sz="0" w:space="0" w:color="auto"/>
                <w:left w:val="none" w:sz="0" w:space="0" w:color="auto"/>
                <w:bottom w:val="none" w:sz="0" w:space="0" w:color="auto"/>
                <w:right w:val="none" w:sz="0" w:space="0" w:color="auto"/>
              </w:divBdr>
              <w:divsChild>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sChild>
                        <w:div w:id="288055924">
                          <w:marLeft w:val="0"/>
                          <w:marRight w:val="0"/>
                          <w:marTop w:val="0"/>
                          <w:marBottom w:val="0"/>
                          <w:divBdr>
                            <w:top w:val="none" w:sz="0" w:space="0" w:color="auto"/>
                            <w:left w:val="none" w:sz="0" w:space="0" w:color="auto"/>
                            <w:bottom w:val="none" w:sz="0" w:space="0" w:color="auto"/>
                            <w:right w:val="none" w:sz="0" w:space="0" w:color="auto"/>
                          </w:divBdr>
                          <w:divsChild>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sChild>
                                    <w:div w:id="532427582">
                                      <w:marLeft w:val="0"/>
                                      <w:marRight w:val="0"/>
                                      <w:marTop w:val="0"/>
                                      <w:marBottom w:val="0"/>
                                      <w:divBdr>
                                        <w:top w:val="none" w:sz="0" w:space="0" w:color="auto"/>
                                        <w:left w:val="none" w:sz="0" w:space="0" w:color="auto"/>
                                        <w:bottom w:val="none" w:sz="0" w:space="0" w:color="auto"/>
                                        <w:right w:val="none" w:sz="0" w:space="0" w:color="auto"/>
                                      </w:divBdr>
                                      <w:divsChild>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sChild>
                                                    <w:div w:id="9889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760003">
      <w:bodyDiv w:val="1"/>
      <w:marLeft w:val="0"/>
      <w:marRight w:val="0"/>
      <w:marTop w:val="0"/>
      <w:marBottom w:val="0"/>
      <w:divBdr>
        <w:top w:val="none" w:sz="0" w:space="0" w:color="auto"/>
        <w:left w:val="none" w:sz="0" w:space="0" w:color="auto"/>
        <w:bottom w:val="none" w:sz="0" w:space="0" w:color="auto"/>
        <w:right w:val="none" w:sz="0" w:space="0" w:color="auto"/>
      </w:divBdr>
    </w:div>
    <w:div w:id="835145020">
      <w:bodyDiv w:val="1"/>
      <w:marLeft w:val="0"/>
      <w:marRight w:val="0"/>
      <w:marTop w:val="0"/>
      <w:marBottom w:val="0"/>
      <w:divBdr>
        <w:top w:val="none" w:sz="0" w:space="0" w:color="auto"/>
        <w:left w:val="none" w:sz="0" w:space="0" w:color="auto"/>
        <w:bottom w:val="none" w:sz="0" w:space="0" w:color="auto"/>
        <w:right w:val="none" w:sz="0" w:space="0" w:color="auto"/>
      </w:divBdr>
    </w:div>
    <w:div w:id="837841411">
      <w:bodyDiv w:val="1"/>
      <w:marLeft w:val="0"/>
      <w:marRight w:val="0"/>
      <w:marTop w:val="0"/>
      <w:marBottom w:val="0"/>
      <w:divBdr>
        <w:top w:val="none" w:sz="0" w:space="0" w:color="auto"/>
        <w:left w:val="none" w:sz="0" w:space="0" w:color="auto"/>
        <w:bottom w:val="none" w:sz="0" w:space="0" w:color="auto"/>
        <w:right w:val="none" w:sz="0" w:space="0" w:color="auto"/>
      </w:divBdr>
    </w:div>
    <w:div w:id="881089872">
      <w:bodyDiv w:val="1"/>
      <w:marLeft w:val="0"/>
      <w:marRight w:val="0"/>
      <w:marTop w:val="0"/>
      <w:marBottom w:val="0"/>
      <w:divBdr>
        <w:top w:val="none" w:sz="0" w:space="0" w:color="auto"/>
        <w:left w:val="none" w:sz="0" w:space="0" w:color="auto"/>
        <w:bottom w:val="none" w:sz="0" w:space="0" w:color="auto"/>
        <w:right w:val="none" w:sz="0" w:space="0" w:color="auto"/>
      </w:divBdr>
    </w:div>
    <w:div w:id="936985066">
      <w:bodyDiv w:val="1"/>
      <w:marLeft w:val="0"/>
      <w:marRight w:val="0"/>
      <w:marTop w:val="0"/>
      <w:marBottom w:val="0"/>
      <w:divBdr>
        <w:top w:val="none" w:sz="0" w:space="0" w:color="auto"/>
        <w:left w:val="none" w:sz="0" w:space="0" w:color="auto"/>
        <w:bottom w:val="none" w:sz="0" w:space="0" w:color="auto"/>
        <w:right w:val="none" w:sz="0" w:space="0" w:color="auto"/>
      </w:divBdr>
    </w:div>
    <w:div w:id="937563872">
      <w:bodyDiv w:val="1"/>
      <w:marLeft w:val="0"/>
      <w:marRight w:val="0"/>
      <w:marTop w:val="0"/>
      <w:marBottom w:val="0"/>
      <w:divBdr>
        <w:top w:val="none" w:sz="0" w:space="0" w:color="auto"/>
        <w:left w:val="none" w:sz="0" w:space="0" w:color="auto"/>
        <w:bottom w:val="none" w:sz="0" w:space="0" w:color="auto"/>
        <w:right w:val="none" w:sz="0" w:space="0" w:color="auto"/>
      </w:divBdr>
    </w:div>
    <w:div w:id="949970500">
      <w:bodyDiv w:val="1"/>
      <w:marLeft w:val="0"/>
      <w:marRight w:val="0"/>
      <w:marTop w:val="0"/>
      <w:marBottom w:val="0"/>
      <w:divBdr>
        <w:top w:val="none" w:sz="0" w:space="0" w:color="auto"/>
        <w:left w:val="none" w:sz="0" w:space="0" w:color="auto"/>
        <w:bottom w:val="none" w:sz="0" w:space="0" w:color="auto"/>
        <w:right w:val="none" w:sz="0" w:space="0" w:color="auto"/>
      </w:divBdr>
    </w:div>
    <w:div w:id="964235926">
      <w:bodyDiv w:val="1"/>
      <w:marLeft w:val="0"/>
      <w:marRight w:val="0"/>
      <w:marTop w:val="0"/>
      <w:marBottom w:val="0"/>
      <w:divBdr>
        <w:top w:val="none" w:sz="0" w:space="0" w:color="auto"/>
        <w:left w:val="none" w:sz="0" w:space="0" w:color="auto"/>
        <w:bottom w:val="none" w:sz="0" w:space="0" w:color="auto"/>
        <w:right w:val="none" w:sz="0" w:space="0" w:color="auto"/>
      </w:divBdr>
    </w:div>
    <w:div w:id="974288634">
      <w:bodyDiv w:val="1"/>
      <w:marLeft w:val="0"/>
      <w:marRight w:val="0"/>
      <w:marTop w:val="0"/>
      <w:marBottom w:val="0"/>
      <w:divBdr>
        <w:top w:val="none" w:sz="0" w:space="0" w:color="auto"/>
        <w:left w:val="none" w:sz="0" w:space="0" w:color="auto"/>
        <w:bottom w:val="none" w:sz="0" w:space="0" w:color="auto"/>
        <w:right w:val="none" w:sz="0" w:space="0" w:color="auto"/>
      </w:divBdr>
    </w:div>
    <w:div w:id="1007831520">
      <w:bodyDiv w:val="1"/>
      <w:marLeft w:val="0"/>
      <w:marRight w:val="0"/>
      <w:marTop w:val="0"/>
      <w:marBottom w:val="0"/>
      <w:divBdr>
        <w:top w:val="none" w:sz="0" w:space="0" w:color="auto"/>
        <w:left w:val="none" w:sz="0" w:space="0" w:color="auto"/>
        <w:bottom w:val="none" w:sz="0" w:space="0" w:color="auto"/>
        <w:right w:val="none" w:sz="0" w:space="0" w:color="auto"/>
      </w:divBdr>
    </w:div>
    <w:div w:id="1016738594">
      <w:bodyDiv w:val="1"/>
      <w:marLeft w:val="0"/>
      <w:marRight w:val="0"/>
      <w:marTop w:val="0"/>
      <w:marBottom w:val="0"/>
      <w:divBdr>
        <w:top w:val="none" w:sz="0" w:space="0" w:color="auto"/>
        <w:left w:val="none" w:sz="0" w:space="0" w:color="auto"/>
        <w:bottom w:val="none" w:sz="0" w:space="0" w:color="auto"/>
        <w:right w:val="none" w:sz="0" w:space="0" w:color="auto"/>
      </w:divBdr>
      <w:divsChild>
        <w:div w:id="1601570915">
          <w:marLeft w:val="0"/>
          <w:marRight w:val="0"/>
          <w:marTop w:val="0"/>
          <w:marBottom w:val="0"/>
          <w:divBdr>
            <w:top w:val="none" w:sz="0" w:space="0" w:color="auto"/>
            <w:left w:val="none" w:sz="0" w:space="0" w:color="auto"/>
            <w:bottom w:val="none" w:sz="0" w:space="0" w:color="auto"/>
            <w:right w:val="none" w:sz="0" w:space="0" w:color="auto"/>
          </w:divBdr>
        </w:div>
      </w:divsChild>
    </w:div>
    <w:div w:id="1025598954">
      <w:bodyDiv w:val="1"/>
      <w:marLeft w:val="0"/>
      <w:marRight w:val="0"/>
      <w:marTop w:val="0"/>
      <w:marBottom w:val="0"/>
      <w:divBdr>
        <w:top w:val="none" w:sz="0" w:space="0" w:color="auto"/>
        <w:left w:val="none" w:sz="0" w:space="0" w:color="auto"/>
        <w:bottom w:val="none" w:sz="0" w:space="0" w:color="auto"/>
        <w:right w:val="none" w:sz="0" w:space="0" w:color="auto"/>
      </w:divBdr>
    </w:div>
    <w:div w:id="1032851283">
      <w:bodyDiv w:val="1"/>
      <w:marLeft w:val="0"/>
      <w:marRight w:val="0"/>
      <w:marTop w:val="0"/>
      <w:marBottom w:val="0"/>
      <w:divBdr>
        <w:top w:val="none" w:sz="0" w:space="0" w:color="auto"/>
        <w:left w:val="none" w:sz="0" w:space="0" w:color="auto"/>
        <w:bottom w:val="none" w:sz="0" w:space="0" w:color="auto"/>
        <w:right w:val="none" w:sz="0" w:space="0" w:color="auto"/>
      </w:divBdr>
    </w:div>
    <w:div w:id="1033383464">
      <w:bodyDiv w:val="1"/>
      <w:marLeft w:val="0"/>
      <w:marRight w:val="0"/>
      <w:marTop w:val="0"/>
      <w:marBottom w:val="0"/>
      <w:divBdr>
        <w:top w:val="none" w:sz="0" w:space="0" w:color="auto"/>
        <w:left w:val="none" w:sz="0" w:space="0" w:color="auto"/>
        <w:bottom w:val="none" w:sz="0" w:space="0" w:color="auto"/>
        <w:right w:val="none" w:sz="0" w:space="0" w:color="auto"/>
      </w:divBdr>
      <w:divsChild>
        <w:div w:id="1314333456">
          <w:marLeft w:val="0"/>
          <w:marRight w:val="0"/>
          <w:marTop w:val="0"/>
          <w:marBottom w:val="0"/>
          <w:divBdr>
            <w:top w:val="none" w:sz="0" w:space="0" w:color="auto"/>
            <w:left w:val="none" w:sz="0" w:space="0" w:color="auto"/>
            <w:bottom w:val="none" w:sz="0" w:space="0" w:color="auto"/>
            <w:right w:val="none" w:sz="0" w:space="0" w:color="auto"/>
          </w:divBdr>
          <w:divsChild>
            <w:div w:id="876819301">
              <w:marLeft w:val="0"/>
              <w:marRight w:val="0"/>
              <w:marTop w:val="0"/>
              <w:marBottom w:val="0"/>
              <w:divBdr>
                <w:top w:val="none" w:sz="0" w:space="0" w:color="auto"/>
                <w:left w:val="none" w:sz="0" w:space="0" w:color="auto"/>
                <w:bottom w:val="none" w:sz="0" w:space="0" w:color="auto"/>
                <w:right w:val="none" w:sz="0" w:space="0" w:color="auto"/>
              </w:divBdr>
              <w:divsChild>
                <w:div w:id="1003581095">
                  <w:marLeft w:val="0"/>
                  <w:marRight w:val="0"/>
                  <w:marTop w:val="0"/>
                  <w:marBottom w:val="0"/>
                  <w:divBdr>
                    <w:top w:val="none" w:sz="0" w:space="0" w:color="auto"/>
                    <w:left w:val="none" w:sz="0" w:space="0" w:color="auto"/>
                    <w:bottom w:val="none" w:sz="0" w:space="0" w:color="auto"/>
                    <w:right w:val="none" w:sz="0" w:space="0" w:color="auto"/>
                  </w:divBdr>
                  <w:divsChild>
                    <w:div w:id="844056529">
                      <w:marLeft w:val="0"/>
                      <w:marRight w:val="0"/>
                      <w:marTop w:val="0"/>
                      <w:marBottom w:val="0"/>
                      <w:divBdr>
                        <w:top w:val="none" w:sz="0" w:space="0" w:color="auto"/>
                        <w:left w:val="none" w:sz="0" w:space="0" w:color="auto"/>
                        <w:bottom w:val="none" w:sz="0" w:space="0" w:color="auto"/>
                        <w:right w:val="none" w:sz="0" w:space="0" w:color="auto"/>
                      </w:divBdr>
                      <w:divsChild>
                        <w:div w:id="151144544">
                          <w:marLeft w:val="0"/>
                          <w:marRight w:val="0"/>
                          <w:marTop w:val="0"/>
                          <w:marBottom w:val="0"/>
                          <w:divBdr>
                            <w:top w:val="none" w:sz="0" w:space="0" w:color="auto"/>
                            <w:left w:val="none" w:sz="0" w:space="0" w:color="auto"/>
                            <w:bottom w:val="none" w:sz="0" w:space="0" w:color="auto"/>
                            <w:right w:val="none" w:sz="0" w:space="0" w:color="auto"/>
                          </w:divBdr>
                          <w:divsChild>
                            <w:div w:id="607813624">
                              <w:marLeft w:val="0"/>
                              <w:marRight w:val="0"/>
                              <w:marTop w:val="0"/>
                              <w:marBottom w:val="0"/>
                              <w:divBdr>
                                <w:top w:val="none" w:sz="0" w:space="0" w:color="auto"/>
                                <w:left w:val="none" w:sz="0" w:space="0" w:color="auto"/>
                                <w:bottom w:val="none" w:sz="0" w:space="0" w:color="auto"/>
                                <w:right w:val="none" w:sz="0" w:space="0" w:color="auto"/>
                              </w:divBdr>
                              <w:divsChild>
                                <w:div w:id="1841580572">
                                  <w:marLeft w:val="0"/>
                                  <w:marRight w:val="0"/>
                                  <w:marTop w:val="0"/>
                                  <w:marBottom w:val="0"/>
                                  <w:divBdr>
                                    <w:top w:val="none" w:sz="0" w:space="0" w:color="auto"/>
                                    <w:left w:val="none" w:sz="0" w:space="0" w:color="auto"/>
                                    <w:bottom w:val="none" w:sz="0" w:space="0" w:color="auto"/>
                                    <w:right w:val="none" w:sz="0" w:space="0" w:color="auto"/>
                                  </w:divBdr>
                                  <w:divsChild>
                                    <w:div w:id="1483958749">
                                      <w:marLeft w:val="0"/>
                                      <w:marRight w:val="0"/>
                                      <w:marTop w:val="0"/>
                                      <w:marBottom w:val="0"/>
                                      <w:divBdr>
                                        <w:top w:val="none" w:sz="0" w:space="0" w:color="auto"/>
                                        <w:left w:val="none" w:sz="0" w:space="0" w:color="auto"/>
                                        <w:bottom w:val="none" w:sz="0" w:space="0" w:color="auto"/>
                                        <w:right w:val="none" w:sz="0" w:space="0" w:color="auto"/>
                                      </w:divBdr>
                                      <w:divsChild>
                                        <w:div w:id="1521242797">
                                          <w:marLeft w:val="0"/>
                                          <w:marRight w:val="0"/>
                                          <w:marTop w:val="0"/>
                                          <w:marBottom w:val="0"/>
                                          <w:divBdr>
                                            <w:top w:val="none" w:sz="0" w:space="0" w:color="auto"/>
                                            <w:left w:val="none" w:sz="0" w:space="0" w:color="auto"/>
                                            <w:bottom w:val="none" w:sz="0" w:space="0" w:color="auto"/>
                                            <w:right w:val="none" w:sz="0" w:space="0" w:color="auto"/>
                                          </w:divBdr>
                                          <w:divsChild>
                                            <w:div w:id="730926794">
                                              <w:marLeft w:val="0"/>
                                              <w:marRight w:val="0"/>
                                              <w:marTop w:val="0"/>
                                              <w:marBottom w:val="0"/>
                                              <w:divBdr>
                                                <w:top w:val="none" w:sz="0" w:space="0" w:color="auto"/>
                                                <w:left w:val="none" w:sz="0" w:space="0" w:color="auto"/>
                                                <w:bottom w:val="none" w:sz="0" w:space="0" w:color="auto"/>
                                                <w:right w:val="none" w:sz="0" w:space="0" w:color="auto"/>
                                              </w:divBdr>
                                              <w:divsChild>
                                                <w:div w:id="2126921810">
                                                  <w:marLeft w:val="0"/>
                                                  <w:marRight w:val="0"/>
                                                  <w:marTop w:val="0"/>
                                                  <w:marBottom w:val="0"/>
                                                  <w:divBdr>
                                                    <w:top w:val="none" w:sz="0" w:space="0" w:color="auto"/>
                                                    <w:left w:val="none" w:sz="0" w:space="0" w:color="auto"/>
                                                    <w:bottom w:val="none" w:sz="0" w:space="0" w:color="auto"/>
                                                    <w:right w:val="none" w:sz="0" w:space="0" w:color="auto"/>
                                                  </w:divBdr>
                                                  <w:divsChild>
                                                    <w:div w:id="19078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6385">
      <w:bodyDiv w:val="1"/>
      <w:marLeft w:val="0"/>
      <w:marRight w:val="0"/>
      <w:marTop w:val="0"/>
      <w:marBottom w:val="0"/>
      <w:divBdr>
        <w:top w:val="none" w:sz="0" w:space="0" w:color="auto"/>
        <w:left w:val="none" w:sz="0" w:space="0" w:color="auto"/>
        <w:bottom w:val="none" w:sz="0" w:space="0" w:color="auto"/>
        <w:right w:val="none" w:sz="0" w:space="0" w:color="auto"/>
      </w:divBdr>
      <w:divsChild>
        <w:div w:id="1601061781">
          <w:marLeft w:val="0"/>
          <w:marRight w:val="0"/>
          <w:marTop w:val="0"/>
          <w:marBottom w:val="0"/>
          <w:divBdr>
            <w:top w:val="none" w:sz="0" w:space="0" w:color="auto"/>
            <w:left w:val="none" w:sz="0" w:space="0" w:color="auto"/>
            <w:bottom w:val="none" w:sz="0" w:space="0" w:color="auto"/>
            <w:right w:val="none" w:sz="0" w:space="0" w:color="auto"/>
          </w:divBdr>
        </w:div>
      </w:divsChild>
    </w:div>
    <w:div w:id="1074284406">
      <w:bodyDiv w:val="1"/>
      <w:marLeft w:val="0"/>
      <w:marRight w:val="0"/>
      <w:marTop w:val="0"/>
      <w:marBottom w:val="0"/>
      <w:divBdr>
        <w:top w:val="none" w:sz="0" w:space="0" w:color="auto"/>
        <w:left w:val="none" w:sz="0" w:space="0" w:color="auto"/>
        <w:bottom w:val="none" w:sz="0" w:space="0" w:color="auto"/>
        <w:right w:val="none" w:sz="0" w:space="0" w:color="auto"/>
      </w:divBdr>
    </w:div>
    <w:div w:id="1121998113">
      <w:bodyDiv w:val="1"/>
      <w:marLeft w:val="0"/>
      <w:marRight w:val="0"/>
      <w:marTop w:val="0"/>
      <w:marBottom w:val="0"/>
      <w:divBdr>
        <w:top w:val="none" w:sz="0" w:space="0" w:color="auto"/>
        <w:left w:val="none" w:sz="0" w:space="0" w:color="auto"/>
        <w:bottom w:val="none" w:sz="0" w:space="0" w:color="auto"/>
        <w:right w:val="none" w:sz="0" w:space="0" w:color="auto"/>
      </w:divBdr>
    </w:div>
    <w:div w:id="1131435807">
      <w:bodyDiv w:val="1"/>
      <w:marLeft w:val="0"/>
      <w:marRight w:val="0"/>
      <w:marTop w:val="0"/>
      <w:marBottom w:val="0"/>
      <w:divBdr>
        <w:top w:val="none" w:sz="0" w:space="0" w:color="auto"/>
        <w:left w:val="none" w:sz="0" w:space="0" w:color="auto"/>
        <w:bottom w:val="none" w:sz="0" w:space="0" w:color="auto"/>
        <w:right w:val="none" w:sz="0" w:space="0" w:color="auto"/>
      </w:divBdr>
    </w:div>
    <w:div w:id="1181121499">
      <w:bodyDiv w:val="1"/>
      <w:marLeft w:val="0"/>
      <w:marRight w:val="0"/>
      <w:marTop w:val="0"/>
      <w:marBottom w:val="0"/>
      <w:divBdr>
        <w:top w:val="none" w:sz="0" w:space="0" w:color="auto"/>
        <w:left w:val="none" w:sz="0" w:space="0" w:color="auto"/>
        <w:bottom w:val="none" w:sz="0" w:space="0" w:color="auto"/>
        <w:right w:val="none" w:sz="0" w:space="0" w:color="auto"/>
      </w:divBdr>
      <w:divsChild>
        <w:div w:id="1673950975">
          <w:marLeft w:val="0"/>
          <w:marRight w:val="0"/>
          <w:marTop w:val="0"/>
          <w:marBottom w:val="0"/>
          <w:divBdr>
            <w:top w:val="none" w:sz="0" w:space="0" w:color="auto"/>
            <w:left w:val="none" w:sz="0" w:space="0" w:color="auto"/>
            <w:bottom w:val="none" w:sz="0" w:space="0" w:color="auto"/>
            <w:right w:val="none" w:sz="0" w:space="0" w:color="auto"/>
          </w:divBdr>
          <w:divsChild>
            <w:div w:id="1740980134">
              <w:marLeft w:val="0"/>
              <w:marRight w:val="0"/>
              <w:marTop w:val="0"/>
              <w:marBottom w:val="0"/>
              <w:divBdr>
                <w:top w:val="none" w:sz="0" w:space="0" w:color="auto"/>
                <w:left w:val="none" w:sz="0" w:space="0" w:color="auto"/>
                <w:bottom w:val="none" w:sz="0" w:space="0" w:color="auto"/>
                <w:right w:val="none" w:sz="0" w:space="0" w:color="auto"/>
              </w:divBdr>
              <w:divsChild>
                <w:div w:id="1778520505">
                  <w:marLeft w:val="0"/>
                  <w:marRight w:val="0"/>
                  <w:marTop w:val="0"/>
                  <w:marBottom w:val="0"/>
                  <w:divBdr>
                    <w:top w:val="none" w:sz="0" w:space="0" w:color="auto"/>
                    <w:left w:val="none" w:sz="0" w:space="0" w:color="auto"/>
                    <w:bottom w:val="none" w:sz="0" w:space="0" w:color="auto"/>
                    <w:right w:val="none" w:sz="0" w:space="0" w:color="auto"/>
                  </w:divBdr>
                  <w:divsChild>
                    <w:div w:id="2141260290">
                      <w:marLeft w:val="0"/>
                      <w:marRight w:val="0"/>
                      <w:marTop w:val="0"/>
                      <w:marBottom w:val="0"/>
                      <w:divBdr>
                        <w:top w:val="none" w:sz="0" w:space="0" w:color="auto"/>
                        <w:left w:val="none" w:sz="0" w:space="0" w:color="auto"/>
                        <w:bottom w:val="none" w:sz="0" w:space="0" w:color="auto"/>
                        <w:right w:val="none" w:sz="0" w:space="0" w:color="auto"/>
                      </w:divBdr>
                      <w:divsChild>
                        <w:div w:id="2126650236">
                          <w:marLeft w:val="0"/>
                          <w:marRight w:val="0"/>
                          <w:marTop w:val="0"/>
                          <w:marBottom w:val="0"/>
                          <w:divBdr>
                            <w:top w:val="none" w:sz="0" w:space="0" w:color="auto"/>
                            <w:left w:val="none" w:sz="0" w:space="0" w:color="auto"/>
                            <w:bottom w:val="none" w:sz="0" w:space="0" w:color="auto"/>
                            <w:right w:val="none" w:sz="0" w:space="0" w:color="auto"/>
                          </w:divBdr>
                          <w:divsChild>
                            <w:div w:id="224875939">
                              <w:marLeft w:val="0"/>
                              <w:marRight w:val="0"/>
                              <w:marTop w:val="0"/>
                              <w:marBottom w:val="0"/>
                              <w:divBdr>
                                <w:top w:val="none" w:sz="0" w:space="0" w:color="auto"/>
                                <w:left w:val="none" w:sz="0" w:space="0" w:color="auto"/>
                                <w:bottom w:val="none" w:sz="0" w:space="0" w:color="auto"/>
                                <w:right w:val="none" w:sz="0" w:space="0" w:color="auto"/>
                              </w:divBdr>
                              <w:divsChild>
                                <w:div w:id="856235501">
                                  <w:marLeft w:val="0"/>
                                  <w:marRight w:val="0"/>
                                  <w:marTop w:val="0"/>
                                  <w:marBottom w:val="0"/>
                                  <w:divBdr>
                                    <w:top w:val="none" w:sz="0" w:space="0" w:color="auto"/>
                                    <w:left w:val="none" w:sz="0" w:space="0" w:color="auto"/>
                                    <w:bottom w:val="none" w:sz="0" w:space="0" w:color="auto"/>
                                    <w:right w:val="none" w:sz="0" w:space="0" w:color="auto"/>
                                  </w:divBdr>
                                  <w:divsChild>
                                    <w:div w:id="1539122260">
                                      <w:marLeft w:val="0"/>
                                      <w:marRight w:val="0"/>
                                      <w:marTop w:val="0"/>
                                      <w:marBottom w:val="0"/>
                                      <w:divBdr>
                                        <w:top w:val="none" w:sz="0" w:space="0" w:color="auto"/>
                                        <w:left w:val="none" w:sz="0" w:space="0" w:color="auto"/>
                                        <w:bottom w:val="none" w:sz="0" w:space="0" w:color="auto"/>
                                        <w:right w:val="none" w:sz="0" w:space="0" w:color="auto"/>
                                      </w:divBdr>
                                      <w:divsChild>
                                        <w:div w:id="1199665172">
                                          <w:marLeft w:val="0"/>
                                          <w:marRight w:val="0"/>
                                          <w:marTop w:val="0"/>
                                          <w:marBottom w:val="0"/>
                                          <w:divBdr>
                                            <w:top w:val="none" w:sz="0" w:space="0" w:color="auto"/>
                                            <w:left w:val="none" w:sz="0" w:space="0" w:color="auto"/>
                                            <w:bottom w:val="none" w:sz="0" w:space="0" w:color="auto"/>
                                            <w:right w:val="none" w:sz="0" w:space="0" w:color="auto"/>
                                          </w:divBdr>
                                          <w:divsChild>
                                            <w:div w:id="983778411">
                                              <w:marLeft w:val="0"/>
                                              <w:marRight w:val="0"/>
                                              <w:marTop w:val="0"/>
                                              <w:marBottom w:val="0"/>
                                              <w:divBdr>
                                                <w:top w:val="none" w:sz="0" w:space="0" w:color="auto"/>
                                                <w:left w:val="none" w:sz="0" w:space="0" w:color="auto"/>
                                                <w:bottom w:val="none" w:sz="0" w:space="0" w:color="auto"/>
                                                <w:right w:val="none" w:sz="0" w:space="0" w:color="auto"/>
                                              </w:divBdr>
                                              <w:divsChild>
                                                <w:div w:id="1652363643">
                                                  <w:marLeft w:val="0"/>
                                                  <w:marRight w:val="0"/>
                                                  <w:marTop w:val="0"/>
                                                  <w:marBottom w:val="0"/>
                                                  <w:divBdr>
                                                    <w:top w:val="none" w:sz="0" w:space="0" w:color="auto"/>
                                                    <w:left w:val="none" w:sz="0" w:space="0" w:color="auto"/>
                                                    <w:bottom w:val="none" w:sz="0" w:space="0" w:color="auto"/>
                                                    <w:right w:val="none" w:sz="0" w:space="0" w:color="auto"/>
                                                  </w:divBdr>
                                                  <w:divsChild>
                                                    <w:div w:id="12744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528197">
      <w:bodyDiv w:val="1"/>
      <w:marLeft w:val="0"/>
      <w:marRight w:val="0"/>
      <w:marTop w:val="0"/>
      <w:marBottom w:val="0"/>
      <w:divBdr>
        <w:top w:val="none" w:sz="0" w:space="0" w:color="auto"/>
        <w:left w:val="none" w:sz="0" w:space="0" w:color="auto"/>
        <w:bottom w:val="none" w:sz="0" w:space="0" w:color="auto"/>
        <w:right w:val="none" w:sz="0" w:space="0" w:color="auto"/>
      </w:divBdr>
    </w:div>
    <w:div w:id="1287395974">
      <w:bodyDiv w:val="1"/>
      <w:marLeft w:val="0"/>
      <w:marRight w:val="0"/>
      <w:marTop w:val="0"/>
      <w:marBottom w:val="0"/>
      <w:divBdr>
        <w:top w:val="none" w:sz="0" w:space="0" w:color="auto"/>
        <w:left w:val="none" w:sz="0" w:space="0" w:color="auto"/>
        <w:bottom w:val="none" w:sz="0" w:space="0" w:color="auto"/>
        <w:right w:val="none" w:sz="0" w:space="0" w:color="auto"/>
      </w:divBdr>
    </w:div>
    <w:div w:id="1306931063">
      <w:bodyDiv w:val="1"/>
      <w:marLeft w:val="0"/>
      <w:marRight w:val="0"/>
      <w:marTop w:val="0"/>
      <w:marBottom w:val="0"/>
      <w:divBdr>
        <w:top w:val="none" w:sz="0" w:space="0" w:color="auto"/>
        <w:left w:val="none" w:sz="0" w:space="0" w:color="auto"/>
        <w:bottom w:val="none" w:sz="0" w:space="0" w:color="auto"/>
        <w:right w:val="none" w:sz="0" w:space="0" w:color="auto"/>
      </w:divBdr>
    </w:div>
    <w:div w:id="1339654007">
      <w:bodyDiv w:val="1"/>
      <w:marLeft w:val="0"/>
      <w:marRight w:val="0"/>
      <w:marTop w:val="0"/>
      <w:marBottom w:val="0"/>
      <w:divBdr>
        <w:top w:val="none" w:sz="0" w:space="0" w:color="auto"/>
        <w:left w:val="none" w:sz="0" w:space="0" w:color="auto"/>
        <w:bottom w:val="none" w:sz="0" w:space="0" w:color="auto"/>
        <w:right w:val="none" w:sz="0" w:space="0" w:color="auto"/>
      </w:divBdr>
    </w:div>
    <w:div w:id="1403403633">
      <w:bodyDiv w:val="1"/>
      <w:marLeft w:val="0"/>
      <w:marRight w:val="0"/>
      <w:marTop w:val="0"/>
      <w:marBottom w:val="0"/>
      <w:divBdr>
        <w:top w:val="none" w:sz="0" w:space="0" w:color="auto"/>
        <w:left w:val="none" w:sz="0" w:space="0" w:color="auto"/>
        <w:bottom w:val="none" w:sz="0" w:space="0" w:color="auto"/>
        <w:right w:val="none" w:sz="0" w:space="0" w:color="auto"/>
      </w:divBdr>
    </w:div>
    <w:div w:id="1404138180">
      <w:bodyDiv w:val="1"/>
      <w:marLeft w:val="0"/>
      <w:marRight w:val="0"/>
      <w:marTop w:val="0"/>
      <w:marBottom w:val="0"/>
      <w:divBdr>
        <w:top w:val="none" w:sz="0" w:space="0" w:color="auto"/>
        <w:left w:val="none" w:sz="0" w:space="0" w:color="auto"/>
        <w:bottom w:val="none" w:sz="0" w:space="0" w:color="auto"/>
        <w:right w:val="none" w:sz="0" w:space="0" w:color="auto"/>
      </w:divBdr>
    </w:div>
    <w:div w:id="1413350486">
      <w:bodyDiv w:val="1"/>
      <w:marLeft w:val="0"/>
      <w:marRight w:val="0"/>
      <w:marTop w:val="0"/>
      <w:marBottom w:val="0"/>
      <w:divBdr>
        <w:top w:val="none" w:sz="0" w:space="0" w:color="auto"/>
        <w:left w:val="none" w:sz="0" w:space="0" w:color="auto"/>
        <w:bottom w:val="none" w:sz="0" w:space="0" w:color="auto"/>
        <w:right w:val="none" w:sz="0" w:space="0" w:color="auto"/>
      </w:divBdr>
    </w:div>
    <w:div w:id="1438409176">
      <w:bodyDiv w:val="1"/>
      <w:marLeft w:val="0"/>
      <w:marRight w:val="0"/>
      <w:marTop w:val="0"/>
      <w:marBottom w:val="0"/>
      <w:divBdr>
        <w:top w:val="none" w:sz="0" w:space="0" w:color="auto"/>
        <w:left w:val="none" w:sz="0" w:space="0" w:color="auto"/>
        <w:bottom w:val="none" w:sz="0" w:space="0" w:color="auto"/>
        <w:right w:val="none" w:sz="0" w:space="0" w:color="auto"/>
      </w:divBdr>
    </w:div>
    <w:div w:id="1462845776">
      <w:bodyDiv w:val="1"/>
      <w:marLeft w:val="0"/>
      <w:marRight w:val="0"/>
      <w:marTop w:val="0"/>
      <w:marBottom w:val="0"/>
      <w:divBdr>
        <w:top w:val="none" w:sz="0" w:space="0" w:color="auto"/>
        <w:left w:val="none" w:sz="0" w:space="0" w:color="auto"/>
        <w:bottom w:val="none" w:sz="0" w:space="0" w:color="auto"/>
        <w:right w:val="none" w:sz="0" w:space="0" w:color="auto"/>
      </w:divBdr>
      <w:divsChild>
        <w:div w:id="366298906">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0"/>
              <w:divBdr>
                <w:top w:val="none" w:sz="0" w:space="0" w:color="auto"/>
                <w:left w:val="none" w:sz="0" w:space="0" w:color="auto"/>
                <w:bottom w:val="none" w:sz="0" w:space="0" w:color="auto"/>
                <w:right w:val="none" w:sz="0" w:space="0" w:color="auto"/>
              </w:divBdr>
              <w:divsChild>
                <w:div w:id="944195425">
                  <w:marLeft w:val="0"/>
                  <w:marRight w:val="0"/>
                  <w:marTop w:val="0"/>
                  <w:marBottom w:val="0"/>
                  <w:divBdr>
                    <w:top w:val="none" w:sz="0" w:space="0" w:color="auto"/>
                    <w:left w:val="none" w:sz="0" w:space="0" w:color="auto"/>
                    <w:bottom w:val="none" w:sz="0" w:space="0" w:color="auto"/>
                    <w:right w:val="none" w:sz="0" w:space="0" w:color="auto"/>
                  </w:divBdr>
                  <w:divsChild>
                    <w:div w:id="260794757">
                      <w:marLeft w:val="0"/>
                      <w:marRight w:val="0"/>
                      <w:marTop w:val="0"/>
                      <w:marBottom w:val="0"/>
                      <w:divBdr>
                        <w:top w:val="none" w:sz="0" w:space="0" w:color="auto"/>
                        <w:left w:val="none" w:sz="0" w:space="0" w:color="auto"/>
                        <w:bottom w:val="none" w:sz="0" w:space="0" w:color="auto"/>
                        <w:right w:val="none" w:sz="0" w:space="0" w:color="auto"/>
                      </w:divBdr>
                      <w:divsChild>
                        <w:div w:id="1336684641">
                          <w:marLeft w:val="0"/>
                          <w:marRight w:val="0"/>
                          <w:marTop w:val="0"/>
                          <w:marBottom w:val="0"/>
                          <w:divBdr>
                            <w:top w:val="none" w:sz="0" w:space="0" w:color="auto"/>
                            <w:left w:val="none" w:sz="0" w:space="0" w:color="auto"/>
                            <w:bottom w:val="none" w:sz="0" w:space="0" w:color="auto"/>
                            <w:right w:val="none" w:sz="0" w:space="0" w:color="auto"/>
                          </w:divBdr>
                          <w:divsChild>
                            <w:div w:id="1104303138">
                              <w:marLeft w:val="0"/>
                              <w:marRight w:val="0"/>
                              <w:marTop w:val="0"/>
                              <w:marBottom w:val="0"/>
                              <w:divBdr>
                                <w:top w:val="none" w:sz="0" w:space="0" w:color="auto"/>
                                <w:left w:val="none" w:sz="0" w:space="0" w:color="auto"/>
                                <w:bottom w:val="none" w:sz="0" w:space="0" w:color="auto"/>
                                <w:right w:val="none" w:sz="0" w:space="0" w:color="auto"/>
                              </w:divBdr>
                              <w:divsChild>
                                <w:div w:id="1161849615">
                                  <w:marLeft w:val="0"/>
                                  <w:marRight w:val="0"/>
                                  <w:marTop w:val="0"/>
                                  <w:marBottom w:val="0"/>
                                  <w:divBdr>
                                    <w:top w:val="none" w:sz="0" w:space="0" w:color="auto"/>
                                    <w:left w:val="none" w:sz="0" w:space="0" w:color="auto"/>
                                    <w:bottom w:val="none" w:sz="0" w:space="0" w:color="auto"/>
                                    <w:right w:val="none" w:sz="0" w:space="0" w:color="auto"/>
                                  </w:divBdr>
                                  <w:divsChild>
                                    <w:div w:id="1277365654">
                                      <w:marLeft w:val="0"/>
                                      <w:marRight w:val="0"/>
                                      <w:marTop w:val="0"/>
                                      <w:marBottom w:val="0"/>
                                      <w:divBdr>
                                        <w:top w:val="none" w:sz="0" w:space="0" w:color="auto"/>
                                        <w:left w:val="none" w:sz="0" w:space="0" w:color="auto"/>
                                        <w:bottom w:val="none" w:sz="0" w:space="0" w:color="auto"/>
                                        <w:right w:val="none" w:sz="0" w:space="0" w:color="auto"/>
                                      </w:divBdr>
                                      <w:divsChild>
                                        <w:div w:id="1881161391">
                                          <w:marLeft w:val="0"/>
                                          <w:marRight w:val="0"/>
                                          <w:marTop w:val="0"/>
                                          <w:marBottom w:val="0"/>
                                          <w:divBdr>
                                            <w:top w:val="none" w:sz="0" w:space="0" w:color="auto"/>
                                            <w:left w:val="none" w:sz="0" w:space="0" w:color="auto"/>
                                            <w:bottom w:val="none" w:sz="0" w:space="0" w:color="auto"/>
                                            <w:right w:val="none" w:sz="0" w:space="0" w:color="auto"/>
                                          </w:divBdr>
                                          <w:divsChild>
                                            <w:div w:id="12563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694241">
      <w:bodyDiv w:val="1"/>
      <w:marLeft w:val="0"/>
      <w:marRight w:val="0"/>
      <w:marTop w:val="0"/>
      <w:marBottom w:val="0"/>
      <w:divBdr>
        <w:top w:val="none" w:sz="0" w:space="0" w:color="auto"/>
        <w:left w:val="none" w:sz="0" w:space="0" w:color="auto"/>
        <w:bottom w:val="none" w:sz="0" w:space="0" w:color="auto"/>
        <w:right w:val="none" w:sz="0" w:space="0" w:color="auto"/>
      </w:divBdr>
    </w:div>
    <w:div w:id="1477256080">
      <w:bodyDiv w:val="1"/>
      <w:marLeft w:val="0"/>
      <w:marRight w:val="0"/>
      <w:marTop w:val="0"/>
      <w:marBottom w:val="0"/>
      <w:divBdr>
        <w:top w:val="none" w:sz="0" w:space="0" w:color="auto"/>
        <w:left w:val="none" w:sz="0" w:space="0" w:color="auto"/>
        <w:bottom w:val="none" w:sz="0" w:space="0" w:color="auto"/>
        <w:right w:val="none" w:sz="0" w:space="0" w:color="auto"/>
      </w:divBdr>
      <w:divsChild>
        <w:div w:id="544684648">
          <w:marLeft w:val="0"/>
          <w:marRight w:val="0"/>
          <w:marTop w:val="0"/>
          <w:marBottom w:val="0"/>
          <w:divBdr>
            <w:top w:val="none" w:sz="0" w:space="0" w:color="auto"/>
            <w:left w:val="none" w:sz="0" w:space="0" w:color="auto"/>
            <w:bottom w:val="none" w:sz="0" w:space="0" w:color="auto"/>
            <w:right w:val="none" w:sz="0" w:space="0" w:color="auto"/>
          </w:divBdr>
        </w:div>
        <w:div w:id="1137525972">
          <w:marLeft w:val="0"/>
          <w:marRight w:val="0"/>
          <w:marTop w:val="0"/>
          <w:marBottom w:val="0"/>
          <w:divBdr>
            <w:top w:val="none" w:sz="0" w:space="0" w:color="auto"/>
            <w:left w:val="none" w:sz="0" w:space="0" w:color="auto"/>
            <w:bottom w:val="none" w:sz="0" w:space="0" w:color="auto"/>
            <w:right w:val="none" w:sz="0" w:space="0" w:color="auto"/>
          </w:divBdr>
        </w:div>
        <w:div w:id="502428693">
          <w:marLeft w:val="0"/>
          <w:marRight w:val="0"/>
          <w:marTop w:val="0"/>
          <w:marBottom w:val="0"/>
          <w:divBdr>
            <w:top w:val="none" w:sz="0" w:space="0" w:color="auto"/>
            <w:left w:val="none" w:sz="0" w:space="0" w:color="auto"/>
            <w:bottom w:val="none" w:sz="0" w:space="0" w:color="auto"/>
            <w:right w:val="none" w:sz="0" w:space="0" w:color="auto"/>
          </w:divBdr>
        </w:div>
        <w:div w:id="2107724462">
          <w:marLeft w:val="0"/>
          <w:marRight w:val="0"/>
          <w:marTop w:val="0"/>
          <w:marBottom w:val="0"/>
          <w:divBdr>
            <w:top w:val="none" w:sz="0" w:space="0" w:color="auto"/>
            <w:left w:val="none" w:sz="0" w:space="0" w:color="auto"/>
            <w:bottom w:val="none" w:sz="0" w:space="0" w:color="auto"/>
            <w:right w:val="none" w:sz="0" w:space="0" w:color="auto"/>
          </w:divBdr>
        </w:div>
        <w:div w:id="2004626426">
          <w:marLeft w:val="0"/>
          <w:marRight w:val="0"/>
          <w:marTop w:val="0"/>
          <w:marBottom w:val="0"/>
          <w:divBdr>
            <w:top w:val="none" w:sz="0" w:space="0" w:color="auto"/>
            <w:left w:val="none" w:sz="0" w:space="0" w:color="auto"/>
            <w:bottom w:val="none" w:sz="0" w:space="0" w:color="auto"/>
            <w:right w:val="none" w:sz="0" w:space="0" w:color="auto"/>
          </w:divBdr>
        </w:div>
        <w:div w:id="927348168">
          <w:marLeft w:val="0"/>
          <w:marRight w:val="0"/>
          <w:marTop w:val="0"/>
          <w:marBottom w:val="0"/>
          <w:divBdr>
            <w:top w:val="none" w:sz="0" w:space="0" w:color="auto"/>
            <w:left w:val="none" w:sz="0" w:space="0" w:color="auto"/>
            <w:bottom w:val="none" w:sz="0" w:space="0" w:color="auto"/>
            <w:right w:val="none" w:sz="0" w:space="0" w:color="auto"/>
          </w:divBdr>
        </w:div>
        <w:div w:id="1204445024">
          <w:marLeft w:val="0"/>
          <w:marRight w:val="0"/>
          <w:marTop w:val="0"/>
          <w:marBottom w:val="0"/>
          <w:divBdr>
            <w:top w:val="none" w:sz="0" w:space="0" w:color="auto"/>
            <w:left w:val="none" w:sz="0" w:space="0" w:color="auto"/>
            <w:bottom w:val="none" w:sz="0" w:space="0" w:color="auto"/>
            <w:right w:val="none" w:sz="0" w:space="0" w:color="auto"/>
          </w:divBdr>
        </w:div>
        <w:div w:id="268121307">
          <w:marLeft w:val="0"/>
          <w:marRight w:val="0"/>
          <w:marTop w:val="0"/>
          <w:marBottom w:val="0"/>
          <w:divBdr>
            <w:top w:val="none" w:sz="0" w:space="0" w:color="auto"/>
            <w:left w:val="none" w:sz="0" w:space="0" w:color="auto"/>
            <w:bottom w:val="none" w:sz="0" w:space="0" w:color="auto"/>
            <w:right w:val="none" w:sz="0" w:space="0" w:color="auto"/>
          </w:divBdr>
        </w:div>
      </w:divsChild>
    </w:div>
    <w:div w:id="1490100458">
      <w:bodyDiv w:val="1"/>
      <w:marLeft w:val="0"/>
      <w:marRight w:val="0"/>
      <w:marTop w:val="0"/>
      <w:marBottom w:val="0"/>
      <w:divBdr>
        <w:top w:val="none" w:sz="0" w:space="0" w:color="auto"/>
        <w:left w:val="none" w:sz="0" w:space="0" w:color="auto"/>
        <w:bottom w:val="none" w:sz="0" w:space="0" w:color="auto"/>
        <w:right w:val="none" w:sz="0" w:space="0" w:color="auto"/>
      </w:divBdr>
    </w:div>
    <w:div w:id="1498227996">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1506553463">
      <w:bodyDiv w:val="1"/>
      <w:marLeft w:val="0"/>
      <w:marRight w:val="0"/>
      <w:marTop w:val="0"/>
      <w:marBottom w:val="0"/>
      <w:divBdr>
        <w:top w:val="none" w:sz="0" w:space="0" w:color="auto"/>
        <w:left w:val="none" w:sz="0" w:space="0" w:color="auto"/>
        <w:bottom w:val="none" w:sz="0" w:space="0" w:color="auto"/>
        <w:right w:val="none" w:sz="0" w:space="0" w:color="auto"/>
      </w:divBdr>
      <w:divsChild>
        <w:div w:id="1998727243">
          <w:marLeft w:val="0"/>
          <w:marRight w:val="0"/>
          <w:marTop w:val="0"/>
          <w:marBottom w:val="0"/>
          <w:divBdr>
            <w:top w:val="none" w:sz="0" w:space="0" w:color="auto"/>
            <w:left w:val="none" w:sz="0" w:space="0" w:color="auto"/>
            <w:bottom w:val="none" w:sz="0" w:space="0" w:color="auto"/>
            <w:right w:val="none" w:sz="0" w:space="0" w:color="auto"/>
          </w:divBdr>
          <w:divsChild>
            <w:div w:id="831719324">
              <w:marLeft w:val="0"/>
              <w:marRight w:val="0"/>
              <w:marTop w:val="0"/>
              <w:marBottom w:val="0"/>
              <w:divBdr>
                <w:top w:val="none" w:sz="0" w:space="0" w:color="auto"/>
                <w:left w:val="none" w:sz="0" w:space="0" w:color="auto"/>
                <w:bottom w:val="none" w:sz="0" w:space="0" w:color="auto"/>
                <w:right w:val="none" w:sz="0" w:space="0" w:color="auto"/>
              </w:divBdr>
              <w:divsChild>
                <w:div w:id="169495185">
                  <w:marLeft w:val="0"/>
                  <w:marRight w:val="0"/>
                  <w:marTop w:val="0"/>
                  <w:marBottom w:val="0"/>
                  <w:divBdr>
                    <w:top w:val="none" w:sz="0" w:space="0" w:color="auto"/>
                    <w:left w:val="none" w:sz="0" w:space="0" w:color="auto"/>
                    <w:bottom w:val="none" w:sz="0" w:space="0" w:color="auto"/>
                    <w:right w:val="none" w:sz="0" w:space="0" w:color="auto"/>
                  </w:divBdr>
                  <w:divsChild>
                    <w:div w:id="888541716">
                      <w:marLeft w:val="0"/>
                      <w:marRight w:val="0"/>
                      <w:marTop w:val="0"/>
                      <w:marBottom w:val="0"/>
                      <w:divBdr>
                        <w:top w:val="none" w:sz="0" w:space="0" w:color="auto"/>
                        <w:left w:val="none" w:sz="0" w:space="0" w:color="auto"/>
                        <w:bottom w:val="none" w:sz="0" w:space="0" w:color="auto"/>
                        <w:right w:val="none" w:sz="0" w:space="0" w:color="auto"/>
                      </w:divBdr>
                      <w:divsChild>
                        <w:div w:id="481971203">
                          <w:marLeft w:val="0"/>
                          <w:marRight w:val="0"/>
                          <w:marTop w:val="0"/>
                          <w:marBottom w:val="0"/>
                          <w:divBdr>
                            <w:top w:val="none" w:sz="0" w:space="0" w:color="auto"/>
                            <w:left w:val="none" w:sz="0" w:space="0" w:color="auto"/>
                            <w:bottom w:val="none" w:sz="0" w:space="0" w:color="auto"/>
                            <w:right w:val="none" w:sz="0" w:space="0" w:color="auto"/>
                          </w:divBdr>
                          <w:divsChild>
                            <w:div w:id="413629446">
                              <w:marLeft w:val="0"/>
                              <w:marRight w:val="0"/>
                              <w:marTop w:val="0"/>
                              <w:marBottom w:val="0"/>
                              <w:divBdr>
                                <w:top w:val="none" w:sz="0" w:space="0" w:color="auto"/>
                                <w:left w:val="none" w:sz="0" w:space="0" w:color="auto"/>
                                <w:bottom w:val="none" w:sz="0" w:space="0" w:color="auto"/>
                                <w:right w:val="none" w:sz="0" w:space="0" w:color="auto"/>
                              </w:divBdr>
                              <w:divsChild>
                                <w:div w:id="32460499">
                                  <w:marLeft w:val="0"/>
                                  <w:marRight w:val="0"/>
                                  <w:marTop w:val="0"/>
                                  <w:marBottom w:val="0"/>
                                  <w:divBdr>
                                    <w:top w:val="none" w:sz="0" w:space="0" w:color="auto"/>
                                    <w:left w:val="none" w:sz="0" w:space="0" w:color="auto"/>
                                    <w:bottom w:val="none" w:sz="0" w:space="0" w:color="auto"/>
                                    <w:right w:val="none" w:sz="0" w:space="0" w:color="auto"/>
                                  </w:divBdr>
                                  <w:divsChild>
                                    <w:div w:id="1616980071">
                                      <w:marLeft w:val="0"/>
                                      <w:marRight w:val="0"/>
                                      <w:marTop w:val="0"/>
                                      <w:marBottom w:val="0"/>
                                      <w:divBdr>
                                        <w:top w:val="none" w:sz="0" w:space="0" w:color="auto"/>
                                        <w:left w:val="none" w:sz="0" w:space="0" w:color="auto"/>
                                        <w:bottom w:val="none" w:sz="0" w:space="0" w:color="auto"/>
                                        <w:right w:val="none" w:sz="0" w:space="0" w:color="auto"/>
                                      </w:divBdr>
                                      <w:divsChild>
                                        <w:div w:id="441263416">
                                          <w:marLeft w:val="0"/>
                                          <w:marRight w:val="0"/>
                                          <w:marTop w:val="0"/>
                                          <w:marBottom w:val="0"/>
                                          <w:divBdr>
                                            <w:top w:val="none" w:sz="0" w:space="0" w:color="auto"/>
                                            <w:left w:val="none" w:sz="0" w:space="0" w:color="auto"/>
                                            <w:bottom w:val="none" w:sz="0" w:space="0" w:color="auto"/>
                                            <w:right w:val="none" w:sz="0" w:space="0" w:color="auto"/>
                                          </w:divBdr>
                                          <w:divsChild>
                                            <w:div w:id="1603877242">
                                              <w:marLeft w:val="0"/>
                                              <w:marRight w:val="0"/>
                                              <w:marTop w:val="0"/>
                                              <w:marBottom w:val="0"/>
                                              <w:divBdr>
                                                <w:top w:val="none" w:sz="0" w:space="0" w:color="auto"/>
                                                <w:left w:val="none" w:sz="0" w:space="0" w:color="auto"/>
                                                <w:bottom w:val="none" w:sz="0" w:space="0" w:color="auto"/>
                                                <w:right w:val="none" w:sz="0" w:space="0" w:color="auto"/>
                                              </w:divBdr>
                                              <w:divsChild>
                                                <w:div w:id="2061898192">
                                                  <w:marLeft w:val="0"/>
                                                  <w:marRight w:val="0"/>
                                                  <w:marTop w:val="0"/>
                                                  <w:marBottom w:val="0"/>
                                                  <w:divBdr>
                                                    <w:top w:val="none" w:sz="0" w:space="0" w:color="auto"/>
                                                    <w:left w:val="none" w:sz="0" w:space="0" w:color="auto"/>
                                                    <w:bottom w:val="none" w:sz="0" w:space="0" w:color="auto"/>
                                                    <w:right w:val="none" w:sz="0" w:space="0" w:color="auto"/>
                                                  </w:divBdr>
                                                  <w:divsChild>
                                                    <w:div w:id="8526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525211">
      <w:bodyDiv w:val="1"/>
      <w:marLeft w:val="0"/>
      <w:marRight w:val="0"/>
      <w:marTop w:val="0"/>
      <w:marBottom w:val="0"/>
      <w:divBdr>
        <w:top w:val="none" w:sz="0" w:space="0" w:color="auto"/>
        <w:left w:val="none" w:sz="0" w:space="0" w:color="auto"/>
        <w:bottom w:val="none" w:sz="0" w:space="0" w:color="auto"/>
        <w:right w:val="none" w:sz="0" w:space="0" w:color="auto"/>
      </w:divBdr>
    </w:div>
    <w:div w:id="1516848870">
      <w:bodyDiv w:val="1"/>
      <w:marLeft w:val="0"/>
      <w:marRight w:val="0"/>
      <w:marTop w:val="0"/>
      <w:marBottom w:val="0"/>
      <w:divBdr>
        <w:top w:val="none" w:sz="0" w:space="0" w:color="auto"/>
        <w:left w:val="none" w:sz="0" w:space="0" w:color="auto"/>
        <w:bottom w:val="none" w:sz="0" w:space="0" w:color="auto"/>
        <w:right w:val="none" w:sz="0" w:space="0" w:color="auto"/>
      </w:divBdr>
    </w:div>
    <w:div w:id="1529488144">
      <w:bodyDiv w:val="1"/>
      <w:marLeft w:val="0"/>
      <w:marRight w:val="0"/>
      <w:marTop w:val="0"/>
      <w:marBottom w:val="0"/>
      <w:divBdr>
        <w:top w:val="none" w:sz="0" w:space="0" w:color="auto"/>
        <w:left w:val="none" w:sz="0" w:space="0" w:color="auto"/>
        <w:bottom w:val="none" w:sz="0" w:space="0" w:color="auto"/>
        <w:right w:val="none" w:sz="0" w:space="0" w:color="auto"/>
      </w:divBdr>
    </w:div>
    <w:div w:id="1548375982">
      <w:bodyDiv w:val="1"/>
      <w:marLeft w:val="0"/>
      <w:marRight w:val="0"/>
      <w:marTop w:val="0"/>
      <w:marBottom w:val="0"/>
      <w:divBdr>
        <w:top w:val="none" w:sz="0" w:space="0" w:color="auto"/>
        <w:left w:val="none" w:sz="0" w:space="0" w:color="auto"/>
        <w:bottom w:val="none" w:sz="0" w:space="0" w:color="auto"/>
        <w:right w:val="none" w:sz="0" w:space="0" w:color="auto"/>
      </w:divBdr>
    </w:div>
    <w:div w:id="1562138216">
      <w:bodyDiv w:val="1"/>
      <w:marLeft w:val="0"/>
      <w:marRight w:val="0"/>
      <w:marTop w:val="0"/>
      <w:marBottom w:val="0"/>
      <w:divBdr>
        <w:top w:val="none" w:sz="0" w:space="0" w:color="auto"/>
        <w:left w:val="none" w:sz="0" w:space="0" w:color="auto"/>
        <w:bottom w:val="none" w:sz="0" w:space="0" w:color="auto"/>
        <w:right w:val="none" w:sz="0" w:space="0" w:color="auto"/>
      </w:divBdr>
    </w:div>
    <w:div w:id="1577205721">
      <w:bodyDiv w:val="1"/>
      <w:marLeft w:val="0"/>
      <w:marRight w:val="0"/>
      <w:marTop w:val="0"/>
      <w:marBottom w:val="0"/>
      <w:divBdr>
        <w:top w:val="none" w:sz="0" w:space="0" w:color="auto"/>
        <w:left w:val="none" w:sz="0" w:space="0" w:color="auto"/>
        <w:bottom w:val="none" w:sz="0" w:space="0" w:color="auto"/>
        <w:right w:val="none" w:sz="0" w:space="0" w:color="auto"/>
      </w:divBdr>
    </w:div>
    <w:div w:id="1584757731">
      <w:bodyDiv w:val="1"/>
      <w:marLeft w:val="0"/>
      <w:marRight w:val="0"/>
      <w:marTop w:val="0"/>
      <w:marBottom w:val="0"/>
      <w:divBdr>
        <w:top w:val="none" w:sz="0" w:space="0" w:color="auto"/>
        <w:left w:val="none" w:sz="0" w:space="0" w:color="auto"/>
        <w:bottom w:val="none" w:sz="0" w:space="0" w:color="auto"/>
        <w:right w:val="none" w:sz="0" w:space="0" w:color="auto"/>
      </w:divBdr>
    </w:div>
    <w:div w:id="1586649459">
      <w:bodyDiv w:val="1"/>
      <w:marLeft w:val="0"/>
      <w:marRight w:val="0"/>
      <w:marTop w:val="0"/>
      <w:marBottom w:val="0"/>
      <w:divBdr>
        <w:top w:val="none" w:sz="0" w:space="0" w:color="auto"/>
        <w:left w:val="none" w:sz="0" w:space="0" w:color="auto"/>
        <w:bottom w:val="none" w:sz="0" w:space="0" w:color="auto"/>
        <w:right w:val="none" w:sz="0" w:space="0" w:color="auto"/>
      </w:divBdr>
    </w:div>
    <w:div w:id="1621035574">
      <w:bodyDiv w:val="1"/>
      <w:marLeft w:val="0"/>
      <w:marRight w:val="0"/>
      <w:marTop w:val="0"/>
      <w:marBottom w:val="0"/>
      <w:divBdr>
        <w:top w:val="none" w:sz="0" w:space="0" w:color="auto"/>
        <w:left w:val="none" w:sz="0" w:space="0" w:color="auto"/>
        <w:bottom w:val="none" w:sz="0" w:space="0" w:color="auto"/>
        <w:right w:val="none" w:sz="0" w:space="0" w:color="auto"/>
      </w:divBdr>
    </w:div>
    <w:div w:id="1640190041">
      <w:bodyDiv w:val="1"/>
      <w:marLeft w:val="0"/>
      <w:marRight w:val="0"/>
      <w:marTop w:val="0"/>
      <w:marBottom w:val="0"/>
      <w:divBdr>
        <w:top w:val="none" w:sz="0" w:space="0" w:color="auto"/>
        <w:left w:val="none" w:sz="0" w:space="0" w:color="auto"/>
        <w:bottom w:val="none" w:sz="0" w:space="0" w:color="auto"/>
        <w:right w:val="none" w:sz="0" w:space="0" w:color="auto"/>
      </w:divBdr>
    </w:div>
    <w:div w:id="1646004311">
      <w:bodyDiv w:val="1"/>
      <w:marLeft w:val="0"/>
      <w:marRight w:val="0"/>
      <w:marTop w:val="0"/>
      <w:marBottom w:val="0"/>
      <w:divBdr>
        <w:top w:val="none" w:sz="0" w:space="0" w:color="auto"/>
        <w:left w:val="none" w:sz="0" w:space="0" w:color="auto"/>
        <w:bottom w:val="none" w:sz="0" w:space="0" w:color="auto"/>
        <w:right w:val="none" w:sz="0" w:space="0" w:color="auto"/>
      </w:divBdr>
    </w:div>
    <w:div w:id="1655258562">
      <w:bodyDiv w:val="1"/>
      <w:marLeft w:val="0"/>
      <w:marRight w:val="0"/>
      <w:marTop w:val="0"/>
      <w:marBottom w:val="0"/>
      <w:divBdr>
        <w:top w:val="none" w:sz="0" w:space="0" w:color="auto"/>
        <w:left w:val="none" w:sz="0" w:space="0" w:color="auto"/>
        <w:bottom w:val="none" w:sz="0" w:space="0" w:color="auto"/>
        <w:right w:val="none" w:sz="0" w:space="0" w:color="auto"/>
      </w:divBdr>
    </w:div>
    <w:div w:id="1661541762">
      <w:bodyDiv w:val="1"/>
      <w:marLeft w:val="0"/>
      <w:marRight w:val="0"/>
      <w:marTop w:val="0"/>
      <w:marBottom w:val="0"/>
      <w:divBdr>
        <w:top w:val="none" w:sz="0" w:space="0" w:color="auto"/>
        <w:left w:val="none" w:sz="0" w:space="0" w:color="auto"/>
        <w:bottom w:val="none" w:sz="0" w:space="0" w:color="auto"/>
        <w:right w:val="none" w:sz="0" w:space="0" w:color="auto"/>
      </w:divBdr>
    </w:div>
    <w:div w:id="1683584589">
      <w:bodyDiv w:val="1"/>
      <w:marLeft w:val="0"/>
      <w:marRight w:val="0"/>
      <w:marTop w:val="0"/>
      <w:marBottom w:val="0"/>
      <w:divBdr>
        <w:top w:val="none" w:sz="0" w:space="0" w:color="auto"/>
        <w:left w:val="none" w:sz="0" w:space="0" w:color="auto"/>
        <w:bottom w:val="none" w:sz="0" w:space="0" w:color="auto"/>
        <w:right w:val="none" w:sz="0" w:space="0" w:color="auto"/>
      </w:divBdr>
    </w:div>
    <w:div w:id="1690721707">
      <w:bodyDiv w:val="1"/>
      <w:marLeft w:val="0"/>
      <w:marRight w:val="0"/>
      <w:marTop w:val="0"/>
      <w:marBottom w:val="0"/>
      <w:divBdr>
        <w:top w:val="none" w:sz="0" w:space="0" w:color="auto"/>
        <w:left w:val="none" w:sz="0" w:space="0" w:color="auto"/>
        <w:bottom w:val="none" w:sz="0" w:space="0" w:color="auto"/>
        <w:right w:val="none" w:sz="0" w:space="0" w:color="auto"/>
      </w:divBdr>
    </w:div>
    <w:div w:id="1698696728">
      <w:bodyDiv w:val="1"/>
      <w:marLeft w:val="0"/>
      <w:marRight w:val="0"/>
      <w:marTop w:val="0"/>
      <w:marBottom w:val="0"/>
      <w:divBdr>
        <w:top w:val="none" w:sz="0" w:space="0" w:color="auto"/>
        <w:left w:val="none" w:sz="0" w:space="0" w:color="auto"/>
        <w:bottom w:val="none" w:sz="0" w:space="0" w:color="auto"/>
        <w:right w:val="none" w:sz="0" w:space="0" w:color="auto"/>
      </w:divBdr>
      <w:divsChild>
        <w:div w:id="1390150262">
          <w:marLeft w:val="0"/>
          <w:marRight w:val="0"/>
          <w:marTop w:val="0"/>
          <w:marBottom w:val="0"/>
          <w:divBdr>
            <w:top w:val="none" w:sz="0" w:space="0" w:color="auto"/>
            <w:left w:val="none" w:sz="0" w:space="0" w:color="auto"/>
            <w:bottom w:val="none" w:sz="0" w:space="0" w:color="auto"/>
            <w:right w:val="none" w:sz="0" w:space="0" w:color="auto"/>
          </w:divBdr>
          <w:divsChild>
            <w:div w:id="1774590199">
              <w:marLeft w:val="0"/>
              <w:marRight w:val="0"/>
              <w:marTop w:val="0"/>
              <w:marBottom w:val="0"/>
              <w:divBdr>
                <w:top w:val="none" w:sz="0" w:space="0" w:color="auto"/>
                <w:left w:val="none" w:sz="0" w:space="0" w:color="auto"/>
                <w:bottom w:val="none" w:sz="0" w:space="0" w:color="auto"/>
                <w:right w:val="none" w:sz="0" w:space="0" w:color="auto"/>
              </w:divBdr>
              <w:divsChild>
                <w:div w:id="622690112">
                  <w:marLeft w:val="0"/>
                  <w:marRight w:val="0"/>
                  <w:marTop w:val="0"/>
                  <w:marBottom w:val="0"/>
                  <w:divBdr>
                    <w:top w:val="none" w:sz="0" w:space="0" w:color="auto"/>
                    <w:left w:val="none" w:sz="0" w:space="0" w:color="auto"/>
                    <w:bottom w:val="none" w:sz="0" w:space="0" w:color="auto"/>
                    <w:right w:val="none" w:sz="0" w:space="0" w:color="auto"/>
                  </w:divBdr>
                  <w:divsChild>
                    <w:div w:id="1895965859">
                      <w:marLeft w:val="0"/>
                      <w:marRight w:val="0"/>
                      <w:marTop w:val="0"/>
                      <w:marBottom w:val="0"/>
                      <w:divBdr>
                        <w:top w:val="none" w:sz="0" w:space="0" w:color="auto"/>
                        <w:left w:val="none" w:sz="0" w:space="0" w:color="auto"/>
                        <w:bottom w:val="none" w:sz="0" w:space="0" w:color="auto"/>
                        <w:right w:val="none" w:sz="0" w:space="0" w:color="auto"/>
                      </w:divBdr>
                      <w:divsChild>
                        <w:div w:id="1840004744">
                          <w:marLeft w:val="0"/>
                          <w:marRight w:val="0"/>
                          <w:marTop w:val="0"/>
                          <w:marBottom w:val="0"/>
                          <w:divBdr>
                            <w:top w:val="none" w:sz="0" w:space="0" w:color="auto"/>
                            <w:left w:val="none" w:sz="0" w:space="0" w:color="auto"/>
                            <w:bottom w:val="none" w:sz="0" w:space="0" w:color="auto"/>
                            <w:right w:val="none" w:sz="0" w:space="0" w:color="auto"/>
                          </w:divBdr>
                          <w:divsChild>
                            <w:div w:id="1758553228">
                              <w:marLeft w:val="0"/>
                              <w:marRight w:val="0"/>
                              <w:marTop w:val="0"/>
                              <w:marBottom w:val="0"/>
                              <w:divBdr>
                                <w:top w:val="none" w:sz="0" w:space="0" w:color="auto"/>
                                <w:left w:val="none" w:sz="0" w:space="0" w:color="auto"/>
                                <w:bottom w:val="none" w:sz="0" w:space="0" w:color="auto"/>
                                <w:right w:val="none" w:sz="0" w:space="0" w:color="auto"/>
                              </w:divBdr>
                              <w:divsChild>
                                <w:div w:id="779304947">
                                  <w:marLeft w:val="0"/>
                                  <w:marRight w:val="0"/>
                                  <w:marTop w:val="0"/>
                                  <w:marBottom w:val="0"/>
                                  <w:divBdr>
                                    <w:top w:val="none" w:sz="0" w:space="0" w:color="auto"/>
                                    <w:left w:val="none" w:sz="0" w:space="0" w:color="auto"/>
                                    <w:bottom w:val="none" w:sz="0" w:space="0" w:color="auto"/>
                                    <w:right w:val="none" w:sz="0" w:space="0" w:color="auto"/>
                                  </w:divBdr>
                                  <w:divsChild>
                                    <w:div w:id="1120222574">
                                      <w:marLeft w:val="0"/>
                                      <w:marRight w:val="0"/>
                                      <w:marTop w:val="0"/>
                                      <w:marBottom w:val="0"/>
                                      <w:divBdr>
                                        <w:top w:val="none" w:sz="0" w:space="0" w:color="auto"/>
                                        <w:left w:val="none" w:sz="0" w:space="0" w:color="auto"/>
                                        <w:bottom w:val="none" w:sz="0" w:space="0" w:color="auto"/>
                                        <w:right w:val="none" w:sz="0" w:space="0" w:color="auto"/>
                                      </w:divBdr>
                                      <w:divsChild>
                                        <w:div w:id="1536771602">
                                          <w:marLeft w:val="0"/>
                                          <w:marRight w:val="0"/>
                                          <w:marTop w:val="0"/>
                                          <w:marBottom w:val="0"/>
                                          <w:divBdr>
                                            <w:top w:val="none" w:sz="0" w:space="0" w:color="auto"/>
                                            <w:left w:val="none" w:sz="0" w:space="0" w:color="auto"/>
                                            <w:bottom w:val="none" w:sz="0" w:space="0" w:color="auto"/>
                                            <w:right w:val="none" w:sz="0" w:space="0" w:color="auto"/>
                                          </w:divBdr>
                                          <w:divsChild>
                                            <w:div w:id="1545867654">
                                              <w:marLeft w:val="0"/>
                                              <w:marRight w:val="0"/>
                                              <w:marTop w:val="0"/>
                                              <w:marBottom w:val="0"/>
                                              <w:divBdr>
                                                <w:top w:val="none" w:sz="0" w:space="0" w:color="auto"/>
                                                <w:left w:val="none" w:sz="0" w:space="0" w:color="auto"/>
                                                <w:bottom w:val="none" w:sz="0" w:space="0" w:color="auto"/>
                                                <w:right w:val="none" w:sz="0" w:space="0" w:color="auto"/>
                                              </w:divBdr>
                                              <w:divsChild>
                                                <w:div w:id="1550073806">
                                                  <w:marLeft w:val="0"/>
                                                  <w:marRight w:val="0"/>
                                                  <w:marTop w:val="0"/>
                                                  <w:marBottom w:val="0"/>
                                                  <w:divBdr>
                                                    <w:top w:val="none" w:sz="0" w:space="0" w:color="auto"/>
                                                    <w:left w:val="none" w:sz="0" w:space="0" w:color="auto"/>
                                                    <w:bottom w:val="none" w:sz="0" w:space="0" w:color="auto"/>
                                                    <w:right w:val="none" w:sz="0" w:space="0" w:color="auto"/>
                                                  </w:divBdr>
                                                  <w:divsChild>
                                                    <w:div w:id="1262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477308">
      <w:bodyDiv w:val="1"/>
      <w:marLeft w:val="0"/>
      <w:marRight w:val="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none" w:sz="0" w:space="0" w:color="auto"/>
            <w:bottom w:val="none" w:sz="0" w:space="0" w:color="auto"/>
            <w:right w:val="none" w:sz="0" w:space="0" w:color="auto"/>
          </w:divBdr>
          <w:divsChild>
            <w:div w:id="1087380118">
              <w:marLeft w:val="0"/>
              <w:marRight w:val="0"/>
              <w:marTop w:val="0"/>
              <w:marBottom w:val="0"/>
              <w:divBdr>
                <w:top w:val="none" w:sz="0" w:space="0" w:color="auto"/>
                <w:left w:val="none" w:sz="0" w:space="0" w:color="auto"/>
                <w:bottom w:val="none" w:sz="0" w:space="0" w:color="auto"/>
                <w:right w:val="none" w:sz="0" w:space="0" w:color="auto"/>
              </w:divBdr>
              <w:divsChild>
                <w:div w:id="371612617">
                  <w:marLeft w:val="0"/>
                  <w:marRight w:val="0"/>
                  <w:marTop w:val="0"/>
                  <w:marBottom w:val="0"/>
                  <w:divBdr>
                    <w:top w:val="none" w:sz="0" w:space="0" w:color="auto"/>
                    <w:left w:val="none" w:sz="0" w:space="0" w:color="auto"/>
                    <w:bottom w:val="none" w:sz="0" w:space="0" w:color="auto"/>
                    <w:right w:val="none" w:sz="0" w:space="0" w:color="auto"/>
                  </w:divBdr>
                  <w:divsChild>
                    <w:div w:id="680746161">
                      <w:marLeft w:val="0"/>
                      <w:marRight w:val="0"/>
                      <w:marTop w:val="0"/>
                      <w:marBottom w:val="0"/>
                      <w:divBdr>
                        <w:top w:val="none" w:sz="0" w:space="0" w:color="auto"/>
                        <w:left w:val="none" w:sz="0" w:space="0" w:color="auto"/>
                        <w:bottom w:val="none" w:sz="0" w:space="0" w:color="auto"/>
                        <w:right w:val="none" w:sz="0" w:space="0" w:color="auto"/>
                      </w:divBdr>
                      <w:divsChild>
                        <w:div w:id="853962868">
                          <w:marLeft w:val="0"/>
                          <w:marRight w:val="0"/>
                          <w:marTop w:val="0"/>
                          <w:marBottom w:val="0"/>
                          <w:divBdr>
                            <w:top w:val="none" w:sz="0" w:space="0" w:color="auto"/>
                            <w:left w:val="none" w:sz="0" w:space="0" w:color="auto"/>
                            <w:bottom w:val="none" w:sz="0" w:space="0" w:color="auto"/>
                            <w:right w:val="none" w:sz="0" w:space="0" w:color="auto"/>
                          </w:divBdr>
                          <w:divsChild>
                            <w:div w:id="1594431641">
                              <w:marLeft w:val="0"/>
                              <w:marRight w:val="0"/>
                              <w:marTop w:val="0"/>
                              <w:marBottom w:val="0"/>
                              <w:divBdr>
                                <w:top w:val="none" w:sz="0" w:space="0" w:color="auto"/>
                                <w:left w:val="none" w:sz="0" w:space="0" w:color="auto"/>
                                <w:bottom w:val="none" w:sz="0" w:space="0" w:color="auto"/>
                                <w:right w:val="none" w:sz="0" w:space="0" w:color="auto"/>
                              </w:divBdr>
                              <w:divsChild>
                                <w:div w:id="1501234189">
                                  <w:marLeft w:val="0"/>
                                  <w:marRight w:val="0"/>
                                  <w:marTop w:val="0"/>
                                  <w:marBottom w:val="0"/>
                                  <w:divBdr>
                                    <w:top w:val="none" w:sz="0" w:space="0" w:color="auto"/>
                                    <w:left w:val="none" w:sz="0" w:space="0" w:color="auto"/>
                                    <w:bottom w:val="none" w:sz="0" w:space="0" w:color="auto"/>
                                    <w:right w:val="none" w:sz="0" w:space="0" w:color="auto"/>
                                  </w:divBdr>
                                  <w:divsChild>
                                    <w:div w:id="2005086901">
                                      <w:marLeft w:val="0"/>
                                      <w:marRight w:val="0"/>
                                      <w:marTop w:val="0"/>
                                      <w:marBottom w:val="0"/>
                                      <w:divBdr>
                                        <w:top w:val="none" w:sz="0" w:space="0" w:color="auto"/>
                                        <w:left w:val="none" w:sz="0" w:space="0" w:color="auto"/>
                                        <w:bottom w:val="none" w:sz="0" w:space="0" w:color="auto"/>
                                        <w:right w:val="none" w:sz="0" w:space="0" w:color="auto"/>
                                      </w:divBdr>
                                      <w:divsChild>
                                        <w:div w:id="1981570291">
                                          <w:marLeft w:val="0"/>
                                          <w:marRight w:val="0"/>
                                          <w:marTop w:val="0"/>
                                          <w:marBottom w:val="0"/>
                                          <w:divBdr>
                                            <w:top w:val="none" w:sz="0" w:space="0" w:color="auto"/>
                                            <w:left w:val="none" w:sz="0" w:space="0" w:color="auto"/>
                                            <w:bottom w:val="none" w:sz="0" w:space="0" w:color="auto"/>
                                            <w:right w:val="none" w:sz="0" w:space="0" w:color="auto"/>
                                          </w:divBdr>
                                          <w:divsChild>
                                            <w:div w:id="1944607320">
                                              <w:marLeft w:val="0"/>
                                              <w:marRight w:val="0"/>
                                              <w:marTop w:val="0"/>
                                              <w:marBottom w:val="0"/>
                                              <w:divBdr>
                                                <w:top w:val="none" w:sz="0" w:space="0" w:color="auto"/>
                                                <w:left w:val="none" w:sz="0" w:space="0" w:color="auto"/>
                                                <w:bottom w:val="none" w:sz="0" w:space="0" w:color="auto"/>
                                                <w:right w:val="none" w:sz="0" w:space="0" w:color="auto"/>
                                              </w:divBdr>
                                              <w:divsChild>
                                                <w:div w:id="1006399849">
                                                  <w:marLeft w:val="0"/>
                                                  <w:marRight w:val="0"/>
                                                  <w:marTop w:val="0"/>
                                                  <w:marBottom w:val="0"/>
                                                  <w:divBdr>
                                                    <w:top w:val="none" w:sz="0" w:space="0" w:color="auto"/>
                                                    <w:left w:val="none" w:sz="0" w:space="0" w:color="auto"/>
                                                    <w:bottom w:val="none" w:sz="0" w:space="0" w:color="auto"/>
                                                    <w:right w:val="none" w:sz="0" w:space="0" w:color="auto"/>
                                                  </w:divBdr>
                                                  <w:divsChild>
                                                    <w:div w:id="9119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6071649">
      <w:bodyDiv w:val="1"/>
      <w:marLeft w:val="0"/>
      <w:marRight w:val="0"/>
      <w:marTop w:val="0"/>
      <w:marBottom w:val="0"/>
      <w:divBdr>
        <w:top w:val="none" w:sz="0" w:space="0" w:color="auto"/>
        <w:left w:val="none" w:sz="0" w:space="0" w:color="auto"/>
        <w:bottom w:val="none" w:sz="0" w:space="0" w:color="auto"/>
        <w:right w:val="none" w:sz="0" w:space="0" w:color="auto"/>
      </w:divBdr>
      <w:divsChild>
        <w:div w:id="235551854">
          <w:marLeft w:val="0"/>
          <w:marRight w:val="0"/>
          <w:marTop w:val="0"/>
          <w:marBottom w:val="0"/>
          <w:divBdr>
            <w:top w:val="none" w:sz="0" w:space="0" w:color="auto"/>
            <w:left w:val="none" w:sz="0" w:space="0" w:color="auto"/>
            <w:bottom w:val="none" w:sz="0" w:space="0" w:color="auto"/>
            <w:right w:val="none" w:sz="0" w:space="0" w:color="auto"/>
          </w:divBdr>
          <w:divsChild>
            <w:div w:id="876815383">
              <w:marLeft w:val="0"/>
              <w:marRight w:val="0"/>
              <w:marTop w:val="0"/>
              <w:marBottom w:val="0"/>
              <w:divBdr>
                <w:top w:val="none" w:sz="0" w:space="0" w:color="auto"/>
                <w:left w:val="none" w:sz="0" w:space="0" w:color="auto"/>
                <w:bottom w:val="none" w:sz="0" w:space="0" w:color="auto"/>
                <w:right w:val="none" w:sz="0" w:space="0" w:color="auto"/>
              </w:divBdr>
              <w:divsChild>
                <w:div w:id="1527478038">
                  <w:marLeft w:val="0"/>
                  <w:marRight w:val="0"/>
                  <w:marTop w:val="0"/>
                  <w:marBottom w:val="0"/>
                  <w:divBdr>
                    <w:top w:val="none" w:sz="0" w:space="0" w:color="auto"/>
                    <w:left w:val="none" w:sz="0" w:space="0" w:color="auto"/>
                    <w:bottom w:val="none" w:sz="0" w:space="0" w:color="auto"/>
                    <w:right w:val="none" w:sz="0" w:space="0" w:color="auto"/>
                  </w:divBdr>
                  <w:divsChild>
                    <w:div w:id="1718357806">
                      <w:marLeft w:val="0"/>
                      <w:marRight w:val="0"/>
                      <w:marTop w:val="0"/>
                      <w:marBottom w:val="0"/>
                      <w:divBdr>
                        <w:top w:val="none" w:sz="0" w:space="0" w:color="auto"/>
                        <w:left w:val="none" w:sz="0" w:space="0" w:color="auto"/>
                        <w:bottom w:val="none" w:sz="0" w:space="0" w:color="auto"/>
                        <w:right w:val="none" w:sz="0" w:space="0" w:color="auto"/>
                      </w:divBdr>
                      <w:divsChild>
                        <w:div w:id="1168329095">
                          <w:marLeft w:val="0"/>
                          <w:marRight w:val="0"/>
                          <w:marTop w:val="0"/>
                          <w:marBottom w:val="0"/>
                          <w:divBdr>
                            <w:top w:val="none" w:sz="0" w:space="0" w:color="auto"/>
                            <w:left w:val="none" w:sz="0" w:space="0" w:color="auto"/>
                            <w:bottom w:val="none" w:sz="0" w:space="0" w:color="auto"/>
                            <w:right w:val="none" w:sz="0" w:space="0" w:color="auto"/>
                          </w:divBdr>
                          <w:divsChild>
                            <w:div w:id="426082205">
                              <w:marLeft w:val="0"/>
                              <w:marRight w:val="0"/>
                              <w:marTop w:val="0"/>
                              <w:marBottom w:val="0"/>
                              <w:divBdr>
                                <w:top w:val="none" w:sz="0" w:space="0" w:color="auto"/>
                                <w:left w:val="none" w:sz="0" w:space="0" w:color="auto"/>
                                <w:bottom w:val="none" w:sz="0" w:space="0" w:color="auto"/>
                                <w:right w:val="none" w:sz="0" w:space="0" w:color="auto"/>
                              </w:divBdr>
                              <w:divsChild>
                                <w:div w:id="1678966808">
                                  <w:marLeft w:val="0"/>
                                  <w:marRight w:val="0"/>
                                  <w:marTop w:val="0"/>
                                  <w:marBottom w:val="0"/>
                                  <w:divBdr>
                                    <w:top w:val="none" w:sz="0" w:space="0" w:color="auto"/>
                                    <w:left w:val="none" w:sz="0" w:space="0" w:color="auto"/>
                                    <w:bottom w:val="none" w:sz="0" w:space="0" w:color="auto"/>
                                    <w:right w:val="none" w:sz="0" w:space="0" w:color="auto"/>
                                  </w:divBdr>
                                  <w:divsChild>
                                    <w:div w:id="1697996806">
                                      <w:marLeft w:val="0"/>
                                      <w:marRight w:val="0"/>
                                      <w:marTop w:val="0"/>
                                      <w:marBottom w:val="0"/>
                                      <w:divBdr>
                                        <w:top w:val="none" w:sz="0" w:space="0" w:color="auto"/>
                                        <w:left w:val="none" w:sz="0" w:space="0" w:color="auto"/>
                                        <w:bottom w:val="none" w:sz="0" w:space="0" w:color="auto"/>
                                        <w:right w:val="none" w:sz="0" w:space="0" w:color="auto"/>
                                      </w:divBdr>
                                      <w:divsChild>
                                        <w:div w:id="502815743">
                                          <w:marLeft w:val="0"/>
                                          <w:marRight w:val="0"/>
                                          <w:marTop w:val="0"/>
                                          <w:marBottom w:val="0"/>
                                          <w:divBdr>
                                            <w:top w:val="none" w:sz="0" w:space="0" w:color="auto"/>
                                            <w:left w:val="none" w:sz="0" w:space="0" w:color="auto"/>
                                            <w:bottom w:val="none" w:sz="0" w:space="0" w:color="auto"/>
                                            <w:right w:val="none" w:sz="0" w:space="0" w:color="auto"/>
                                          </w:divBdr>
                                          <w:divsChild>
                                            <w:div w:id="1316105397">
                                              <w:marLeft w:val="0"/>
                                              <w:marRight w:val="0"/>
                                              <w:marTop w:val="0"/>
                                              <w:marBottom w:val="0"/>
                                              <w:divBdr>
                                                <w:top w:val="none" w:sz="0" w:space="0" w:color="auto"/>
                                                <w:left w:val="none" w:sz="0" w:space="0" w:color="auto"/>
                                                <w:bottom w:val="none" w:sz="0" w:space="0" w:color="auto"/>
                                                <w:right w:val="none" w:sz="0" w:space="0" w:color="auto"/>
                                              </w:divBdr>
                                              <w:divsChild>
                                                <w:div w:id="1488784237">
                                                  <w:marLeft w:val="0"/>
                                                  <w:marRight w:val="0"/>
                                                  <w:marTop w:val="0"/>
                                                  <w:marBottom w:val="0"/>
                                                  <w:divBdr>
                                                    <w:top w:val="none" w:sz="0" w:space="0" w:color="auto"/>
                                                    <w:left w:val="none" w:sz="0" w:space="0" w:color="auto"/>
                                                    <w:bottom w:val="none" w:sz="0" w:space="0" w:color="auto"/>
                                                    <w:right w:val="none" w:sz="0" w:space="0" w:color="auto"/>
                                                  </w:divBdr>
                                                  <w:divsChild>
                                                    <w:div w:id="16496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771024">
      <w:bodyDiv w:val="1"/>
      <w:marLeft w:val="0"/>
      <w:marRight w:val="0"/>
      <w:marTop w:val="0"/>
      <w:marBottom w:val="0"/>
      <w:divBdr>
        <w:top w:val="none" w:sz="0" w:space="0" w:color="auto"/>
        <w:left w:val="none" w:sz="0" w:space="0" w:color="auto"/>
        <w:bottom w:val="none" w:sz="0" w:space="0" w:color="auto"/>
        <w:right w:val="none" w:sz="0" w:space="0" w:color="auto"/>
      </w:divBdr>
    </w:div>
    <w:div w:id="1798405265">
      <w:bodyDiv w:val="1"/>
      <w:marLeft w:val="0"/>
      <w:marRight w:val="0"/>
      <w:marTop w:val="0"/>
      <w:marBottom w:val="0"/>
      <w:divBdr>
        <w:top w:val="none" w:sz="0" w:space="0" w:color="auto"/>
        <w:left w:val="none" w:sz="0" w:space="0" w:color="auto"/>
        <w:bottom w:val="none" w:sz="0" w:space="0" w:color="auto"/>
        <w:right w:val="none" w:sz="0" w:space="0" w:color="auto"/>
      </w:divBdr>
    </w:div>
    <w:div w:id="1830947135">
      <w:bodyDiv w:val="1"/>
      <w:marLeft w:val="0"/>
      <w:marRight w:val="0"/>
      <w:marTop w:val="0"/>
      <w:marBottom w:val="0"/>
      <w:divBdr>
        <w:top w:val="none" w:sz="0" w:space="0" w:color="auto"/>
        <w:left w:val="none" w:sz="0" w:space="0" w:color="auto"/>
        <w:bottom w:val="none" w:sz="0" w:space="0" w:color="auto"/>
        <w:right w:val="none" w:sz="0" w:space="0" w:color="auto"/>
      </w:divBdr>
    </w:div>
    <w:div w:id="1840463050">
      <w:bodyDiv w:val="1"/>
      <w:marLeft w:val="0"/>
      <w:marRight w:val="0"/>
      <w:marTop w:val="0"/>
      <w:marBottom w:val="0"/>
      <w:divBdr>
        <w:top w:val="none" w:sz="0" w:space="0" w:color="auto"/>
        <w:left w:val="none" w:sz="0" w:space="0" w:color="auto"/>
        <w:bottom w:val="none" w:sz="0" w:space="0" w:color="auto"/>
        <w:right w:val="none" w:sz="0" w:space="0" w:color="auto"/>
      </w:divBdr>
    </w:div>
    <w:div w:id="1858958158">
      <w:bodyDiv w:val="1"/>
      <w:marLeft w:val="0"/>
      <w:marRight w:val="0"/>
      <w:marTop w:val="0"/>
      <w:marBottom w:val="0"/>
      <w:divBdr>
        <w:top w:val="none" w:sz="0" w:space="0" w:color="auto"/>
        <w:left w:val="none" w:sz="0" w:space="0" w:color="auto"/>
        <w:bottom w:val="none" w:sz="0" w:space="0" w:color="auto"/>
        <w:right w:val="none" w:sz="0" w:space="0" w:color="auto"/>
      </w:divBdr>
    </w:div>
    <w:div w:id="1868247881">
      <w:bodyDiv w:val="1"/>
      <w:marLeft w:val="0"/>
      <w:marRight w:val="0"/>
      <w:marTop w:val="0"/>
      <w:marBottom w:val="0"/>
      <w:divBdr>
        <w:top w:val="none" w:sz="0" w:space="0" w:color="auto"/>
        <w:left w:val="none" w:sz="0" w:space="0" w:color="auto"/>
        <w:bottom w:val="none" w:sz="0" w:space="0" w:color="auto"/>
        <w:right w:val="none" w:sz="0" w:space="0" w:color="auto"/>
      </w:divBdr>
    </w:div>
    <w:div w:id="1883785709">
      <w:bodyDiv w:val="1"/>
      <w:marLeft w:val="0"/>
      <w:marRight w:val="0"/>
      <w:marTop w:val="0"/>
      <w:marBottom w:val="0"/>
      <w:divBdr>
        <w:top w:val="none" w:sz="0" w:space="0" w:color="auto"/>
        <w:left w:val="none" w:sz="0" w:space="0" w:color="auto"/>
        <w:bottom w:val="none" w:sz="0" w:space="0" w:color="auto"/>
        <w:right w:val="none" w:sz="0" w:space="0" w:color="auto"/>
      </w:divBdr>
    </w:div>
    <w:div w:id="1918593351">
      <w:bodyDiv w:val="1"/>
      <w:marLeft w:val="0"/>
      <w:marRight w:val="0"/>
      <w:marTop w:val="0"/>
      <w:marBottom w:val="0"/>
      <w:divBdr>
        <w:top w:val="none" w:sz="0" w:space="0" w:color="auto"/>
        <w:left w:val="none" w:sz="0" w:space="0" w:color="auto"/>
        <w:bottom w:val="none" w:sz="0" w:space="0" w:color="auto"/>
        <w:right w:val="none" w:sz="0" w:space="0" w:color="auto"/>
      </w:divBdr>
    </w:div>
    <w:div w:id="1929146771">
      <w:bodyDiv w:val="1"/>
      <w:marLeft w:val="0"/>
      <w:marRight w:val="0"/>
      <w:marTop w:val="0"/>
      <w:marBottom w:val="0"/>
      <w:divBdr>
        <w:top w:val="none" w:sz="0" w:space="0" w:color="auto"/>
        <w:left w:val="none" w:sz="0" w:space="0" w:color="auto"/>
        <w:bottom w:val="none" w:sz="0" w:space="0" w:color="auto"/>
        <w:right w:val="none" w:sz="0" w:space="0" w:color="auto"/>
      </w:divBdr>
    </w:div>
    <w:div w:id="1930888536">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sChild>
        <w:div w:id="830485284">
          <w:marLeft w:val="0"/>
          <w:marRight w:val="0"/>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0"/>
              <w:divBdr>
                <w:top w:val="none" w:sz="0" w:space="0" w:color="auto"/>
                <w:left w:val="none" w:sz="0" w:space="0" w:color="auto"/>
                <w:bottom w:val="none" w:sz="0" w:space="0" w:color="auto"/>
                <w:right w:val="none" w:sz="0" w:space="0" w:color="auto"/>
              </w:divBdr>
              <w:divsChild>
                <w:div w:id="149061336">
                  <w:marLeft w:val="0"/>
                  <w:marRight w:val="0"/>
                  <w:marTop w:val="0"/>
                  <w:marBottom w:val="0"/>
                  <w:divBdr>
                    <w:top w:val="none" w:sz="0" w:space="0" w:color="auto"/>
                    <w:left w:val="none" w:sz="0" w:space="0" w:color="auto"/>
                    <w:bottom w:val="none" w:sz="0" w:space="0" w:color="auto"/>
                    <w:right w:val="none" w:sz="0" w:space="0" w:color="auto"/>
                  </w:divBdr>
                  <w:divsChild>
                    <w:div w:id="259337693">
                      <w:marLeft w:val="0"/>
                      <w:marRight w:val="0"/>
                      <w:marTop w:val="0"/>
                      <w:marBottom w:val="0"/>
                      <w:divBdr>
                        <w:top w:val="none" w:sz="0" w:space="0" w:color="auto"/>
                        <w:left w:val="none" w:sz="0" w:space="0" w:color="auto"/>
                        <w:bottom w:val="none" w:sz="0" w:space="0" w:color="auto"/>
                        <w:right w:val="none" w:sz="0" w:space="0" w:color="auto"/>
                      </w:divBdr>
                      <w:divsChild>
                        <w:div w:id="467285373">
                          <w:marLeft w:val="0"/>
                          <w:marRight w:val="0"/>
                          <w:marTop w:val="0"/>
                          <w:marBottom w:val="0"/>
                          <w:divBdr>
                            <w:top w:val="none" w:sz="0" w:space="0" w:color="auto"/>
                            <w:left w:val="none" w:sz="0" w:space="0" w:color="auto"/>
                            <w:bottom w:val="none" w:sz="0" w:space="0" w:color="auto"/>
                            <w:right w:val="none" w:sz="0" w:space="0" w:color="auto"/>
                          </w:divBdr>
                          <w:divsChild>
                            <w:div w:id="683047275">
                              <w:marLeft w:val="0"/>
                              <w:marRight w:val="0"/>
                              <w:marTop w:val="0"/>
                              <w:marBottom w:val="0"/>
                              <w:divBdr>
                                <w:top w:val="none" w:sz="0" w:space="0" w:color="auto"/>
                                <w:left w:val="none" w:sz="0" w:space="0" w:color="auto"/>
                                <w:bottom w:val="none" w:sz="0" w:space="0" w:color="auto"/>
                                <w:right w:val="none" w:sz="0" w:space="0" w:color="auto"/>
                              </w:divBdr>
                              <w:divsChild>
                                <w:div w:id="1125393195">
                                  <w:marLeft w:val="0"/>
                                  <w:marRight w:val="0"/>
                                  <w:marTop w:val="0"/>
                                  <w:marBottom w:val="0"/>
                                  <w:divBdr>
                                    <w:top w:val="none" w:sz="0" w:space="0" w:color="auto"/>
                                    <w:left w:val="none" w:sz="0" w:space="0" w:color="auto"/>
                                    <w:bottom w:val="none" w:sz="0" w:space="0" w:color="auto"/>
                                    <w:right w:val="none" w:sz="0" w:space="0" w:color="auto"/>
                                  </w:divBdr>
                                  <w:divsChild>
                                    <w:div w:id="950743305">
                                      <w:marLeft w:val="0"/>
                                      <w:marRight w:val="0"/>
                                      <w:marTop w:val="0"/>
                                      <w:marBottom w:val="0"/>
                                      <w:divBdr>
                                        <w:top w:val="none" w:sz="0" w:space="0" w:color="auto"/>
                                        <w:left w:val="none" w:sz="0" w:space="0" w:color="auto"/>
                                        <w:bottom w:val="none" w:sz="0" w:space="0" w:color="auto"/>
                                        <w:right w:val="none" w:sz="0" w:space="0" w:color="auto"/>
                                      </w:divBdr>
                                      <w:divsChild>
                                        <w:div w:id="693728255">
                                          <w:marLeft w:val="0"/>
                                          <w:marRight w:val="0"/>
                                          <w:marTop w:val="0"/>
                                          <w:marBottom w:val="0"/>
                                          <w:divBdr>
                                            <w:top w:val="none" w:sz="0" w:space="0" w:color="auto"/>
                                            <w:left w:val="none" w:sz="0" w:space="0" w:color="auto"/>
                                            <w:bottom w:val="none" w:sz="0" w:space="0" w:color="auto"/>
                                            <w:right w:val="none" w:sz="0" w:space="0" w:color="auto"/>
                                          </w:divBdr>
                                          <w:divsChild>
                                            <w:div w:id="1855529881">
                                              <w:marLeft w:val="0"/>
                                              <w:marRight w:val="0"/>
                                              <w:marTop w:val="0"/>
                                              <w:marBottom w:val="0"/>
                                              <w:divBdr>
                                                <w:top w:val="none" w:sz="0" w:space="0" w:color="auto"/>
                                                <w:left w:val="none" w:sz="0" w:space="0" w:color="auto"/>
                                                <w:bottom w:val="none" w:sz="0" w:space="0" w:color="auto"/>
                                                <w:right w:val="none" w:sz="0" w:space="0" w:color="auto"/>
                                              </w:divBdr>
                                              <w:divsChild>
                                                <w:div w:id="1591355281">
                                                  <w:marLeft w:val="0"/>
                                                  <w:marRight w:val="0"/>
                                                  <w:marTop w:val="0"/>
                                                  <w:marBottom w:val="0"/>
                                                  <w:divBdr>
                                                    <w:top w:val="none" w:sz="0" w:space="0" w:color="auto"/>
                                                    <w:left w:val="none" w:sz="0" w:space="0" w:color="auto"/>
                                                    <w:bottom w:val="none" w:sz="0" w:space="0" w:color="auto"/>
                                                    <w:right w:val="none" w:sz="0" w:space="0" w:color="auto"/>
                                                  </w:divBdr>
                                                  <w:divsChild>
                                                    <w:div w:id="18733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173411">
      <w:bodyDiv w:val="1"/>
      <w:marLeft w:val="0"/>
      <w:marRight w:val="0"/>
      <w:marTop w:val="0"/>
      <w:marBottom w:val="0"/>
      <w:divBdr>
        <w:top w:val="none" w:sz="0" w:space="0" w:color="auto"/>
        <w:left w:val="none" w:sz="0" w:space="0" w:color="auto"/>
        <w:bottom w:val="none" w:sz="0" w:space="0" w:color="auto"/>
        <w:right w:val="none" w:sz="0" w:space="0" w:color="auto"/>
      </w:divBdr>
    </w:div>
    <w:div w:id="1943956974">
      <w:bodyDiv w:val="1"/>
      <w:marLeft w:val="0"/>
      <w:marRight w:val="0"/>
      <w:marTop w:val="0"/>
      <w:marBottom w:val="0"/>
      <w:divBdr>
        <w:top w:val="none" w:sz="0" w:space="0" w:color="auto"/>
        <w:left w:val="none" w:sz="0" w:space="0" w:color="auto"/>
        <w:bottom w:val="none" w:sz="0" w:space="0" w:color="auto"/>
        <w:right w:val="none" w:sz="0" w:space="0" w:color="auto"/>
      </w:divBdr>
    </w:div>
    <w:div w:id="1944071196">
      <w:bodyDiv w:val="1"/>
      <w:marLeft w:val="0"/>
      <w:marRight w:val="0"/>
      <w:marTop w:val="0"/>
      <w:marBottom w:val="0"/>
      <w:divBdr>
        <w:top w:val="none" w:sz="0" w:space="0" w:color="auto"/>
        <w:left w:val="none" w:sz="0" w:space="0" w:color="auto"/>
        <w:bottom w:val="none" w:sz="0" w:space="0" w:color="auto"/>
        <w:right w:val="none" w:sz="0" w:space="0" w:color="auto"/>
      </w:divBdr>
    </w:div>
    <w:div w:id="1972898362">
      <w:bodyDiv w:val="1"/>
      <w:marLeft w:val="0"/>
      <w:marRight w:val="0"/>
      <w:marTop w:val="0"/>
      <w:marBottom w:val="0"/>
      <w:divBdr>
        <w:top w:val="none" w:sz="0" w:space="0" w:color="auto"/>
        <w:left w:val="none" w:sz="0" w:space="0" w:color="auto"/>
        <w:bottom w:val="none" w:sz="0" w:space="0" w:color="auto"/>
        <w:right w:val="none" w:sz="0" w:space="0" w:color="auto"/>
      </w:divBdr>
    </w:div>
    <w:div w:id="1979802482">
      <w:bodyDiv w:val="1"/>
      <w:marLeft w:val="0"/>
      <w:marRight w:val="0"/>
      <w:marTop w:val="0"/>
      <w:marBottom w:val="0"/>
      <w:divBdr>
        <w:top w:val="none" w:sz="0" w:space="0" w:color="auto"/>
        <w:left w:val="none" w:sz="0" w:space="0" w:color="auto"/>
        <w:bottom w:val="none" w:sz="0" w:space="0" w:color="auto"/>
        <w:right w:val="none" w:sz="0" w:space="0" w:color="auto"/>
      </w:divBdr>
    </w:div>
    <w:div w:id="1989286477">
      <w:bodyDiv w:val="1"/>
      <w:marLeft w:val="0"/>
      <w:marRight w:val="0"/>
      <w:marTop w:val="0"/>
      <w:marBottom w:val="0"/>
      <w:divBdr>
        <w:top w:val="none" w:sz="0" w:space="0" w:color="auto"/>
        <w:left w:val="none" w:sz="0" w:space="0" w:color="auto"/>
        <w:bottom w:val="none" w:sz="0" w:space="0" w:color="auto"/>
        <w:right w:val="none" w:sz="0" w:space="0" w:color="auto"/>
      </w:divBdr>
    </w:div>
    <w:div w:id="2033258581">
      <w:bodyDiv w:val="1"/>
      <w:marLeft w:val="0"/>
      <w:marRight w:val="0"/>
      <w:marTop w:val="0"/>
      <w:marBottom w:val="0"/>
      <w:divBdr>
        <w:top w:val="none" w:sz="0" w:space="0" w:color="auto"/>
        <w:left w:val="none" w:sz="0" w:space="0" w:color="auto"/>
        <w:bottom w:val="none" w:sz="0" w:space="0" w:color="auto"/>
        <w:right w:val="none" w:sz="0" w:space="0" w:color="auto"/>
      </w:divBdr>
    </w:div>
    <w:div w:id="2086685347">
      <w:bodyDiv w:val="1"/>
      <w:marLeft w:val="0"/>
      <w:marRight w:val="0"/>
      <w:marTop w:val="0"/>
      <w:marBottom w:val="0"/>
      <w:divBdr>
        <w:top w:val="none" w:sz="0" w:space="0" w:color="auto"/>
        <w:left w:val="none" w:sz="0" w:space="0" w:color="auto"/>
        <w:bottom w:val="none" w:sz="0" w:space="0" w:color="auto"/>
        <w:right w:val="none" w:sz="0" w:space="0" w:color="auto"/>
      </w:divBdr>
    </w:div>
    <w:div w:id="2106414458">
      <w:bodyDiv w:val="1"/>
      <w:marLeft w:val="0"/>
      <w:marRight w:val="0"/>
      <w:marTop w:val="0"/>
      <w:marBottom w:val="0"/>
      <w:divBdr>
        <w:top w:val="none" w:sz="0" w:space="0" w:color="auto"/>
        <w:left w:val="none" w:sz="0" w:space="0" w:color="auto"/>
        <w:bottom w:val="none" w:sz="0" w:space="0" w:color="auto"/>
        <w:right w:val="none" w:sz="0" w:space="0" w:color="auto"/>
      </w:divBdr>
    </w:div>
    <w:div w:id="2118674494">
      <w:bodyDiv w:val="1"/>
      <w:marLeft w:val="0"/>
      <w:marRight w:val="0"/>
      <w:marTop w:val="0"/>
      <w:marBottom w:val="0"/>
      <w:divBdr>
        <w:top w:val="none" w:sz="0" w:space="0" w:color="auto"/>
        <w:left w:val="none" w:sz="0" w:space="0" w:color="auto"/>
        <w:bottom w:val="none" w:sz="0" w:space="0" w:color="auto"/>
        <w:right w:val="none" w:sz="0" w:space="0" w:color="auto"/>
      </w:divBdr>
    </w:div>
    <w:div w:id="2126610277">
      <w:bodyDiv w:val="1"/>
      <w:marLeft w:val="0"/>
      <w:marRight w:val="0"/>
      <w:marTop w:val="0"/>
      <w:marBottom w:val="0"/>
      <w:divBdr>
        <w:top w:val="none" w:sz="0" w:space="0" w:color="auto"/>
        <w:left w:val="none" w:sz="0" w:space="0" w:color="auto"/>
        <w:bottom w:val="none" w:sz="0" w:space="0" w:color="auto"/>
        <w:right w:val="none" w:sz="0" w:space="0" w:color="auto"/>
      </w:divBdr>
      <w:divsChild>
        <w:div w:id="789586476">
          <w:marLeft w:val="0"/>
          <w:marRight w:val="0"/>
          <w:marTop w:val="0"/>
          <w:marBottom w:val="0"/>
          <w:divBdr>
            <w:top w:val="none" w:sz="0" w:space="0" w:color="auto"/>
            <w:left w:val="none" w:sz="0" w:space="0" w:color="auto"/>
            <w:bottom w:val="none" w:sz="0" w:space="0" w:color="auto"/>
            <w:right w:val="none" w:sz="0" w:space="0" w:color="auto"/>
          </w:divBdr>
          <w:divsChild>
            <w:div w:id="1866095920">
              <w:marLeft w:val="0"/>
              <w:marRight w:val="0"/>
              <w:marTop w:val="0"/>
              <w:marBottom w:val="0"/>
              <w:divBdr>
                <w:top w:val="none" w:sz="0" w:space="0" w:color="auto"/>
                <w:left w:val="none" w:sz="0" w:space="0" w:color="auto"/>
                <w:bottom w:val="none" w:sz="0" w:space="0" w:color="auto"/>
                <w:right w:val="none" w:sz="0" w:space="0" w:color="auto"/>
              </w:divBdr>
              <w:divsChild>
                <w:div w:id="905186775">
                  <w:marLeft w:val="0"/>
                  <w:marRight w:val="0"/>
                  <w:marTop w:val="0"/>
                  <w:marBottom w:val="0"/>
                  <w:divBdr>
                    <w:top w:val="none" w:sz="0" w:space="0" w:color="auto"/>
                    <w:left w:val="none" w:sz="0" w:space="0" w:color="auto"/>
                    <w:bottom w:val="none" w:sz="0" w:space="0" w:color="auto"/>
                    <w:right w:val="none" w:sz="0" w:space="0" w:color="auto"/>
                  </w:divBdr>
                  <w:divsChild>
                    <w:div w:id="1195658620">
                      <w:marLeft w:val="0"/>
                      <w:marRight w:val="0"/>
                      <w:marTop w:val="0"/>
                      <w:marBottom w:val="0"/>
                      <w:divBdr>
                        <w:top w:val="none" w:sz="0" w:space="0" w:color="auto"/>
                        <w:left w:val="none" w:sz="0" w:space="0" w:color="auto"/>
                        <w:bottom w:val="none" w:sz="0" w:space="0" w:color="auto"/>
                        <w:right w:val="none" w:sz="0" w:space="0" w:color="auto"/>
                      </w:divBdr>
                      <w:divsChild>
                        <w:div w:id="596983901">
                          <w:marLeft w:val="0"/>
                          <w:marRight w:val="0"/>
                          <w:marTop w:val="0"/>
                          <w:marBottom w:val="0"/>
                          <w:divBdr>
                            <w:top w:val="none" w:sz="0" w:space="0" w:color="auto"/>
                            <w:left w:val="none" w:sz="0" w:space="0" w:color="auto"/>
                            <w:bottom w:val="none" w:sz="0" w:space="0" w:color="auto"/>
                            <w:right w:val="none" w:sz="0" w:space="0" w:color="auto"/>
                          </w:divBdr>
                          <w:divsChild>
                            <w:div w:id="1351764064">
                              <w:marLeft w:val="0"/>
                              <w:marRight w:val="0"/>
                              <w:marTop w:val="0"/>
                              <w:marBottom w:val="0"/>
                              <w:divBdr>
                                <w:top w:val="none" w:sz="0" w:space="0" w:color="auto"/>
                                <w:left w:val="none" w:sz="0" w:space="0" w:color="auto"/>
                                <w:bottom w:val="none" w:sz="0" w:space="0" w:color="auto"/>
                                <w:right w:val="none" w:sz="0" w:space="0" w:color="auto"/>
                              </w:divBdr>
                              <w:divsChild>
                                <w:div w:id="35735572">
                                  <w:marLeft w:val="0"/>
                                  <w:marRight w:val="0"/>
                                  <w:marTop w:val="0"/>
                                  <w:marBottom w:val="0"/>
                                  <w:divBdr>
                                    <w:top w:val="none" w:sz="0" w:space="0" w:color="auto"/>
                                    <w:left w:val="none" w:sz="0" w:space="0" w:color="auto"/>
                                    <w:bottom w:val="none" w:sz="0" w:space="0" w:color="auto"/>
                                    <w:right w:val="none" w:sz="0" w:space="0" w:color="auto"/>
                                  </w:divBdr>
                                  <w:divsChild>
                                    <w:div w:id="2133590853">
                                      <w:marLeft w:val="0"/>
                                      <w:marRight w:val="0"/>
                                      <w:marTop w:val="0"/>
                                      <w:marBottom w:val="0"/>
                                      <w:divBdr>
                                        <w:top w:val="none" w:sz="0" w:space="0" w:color="auto"/>
                                        <w:left w:val="none" w:sz="0" w:space="0" w:color="auto"/>
                                        <w:bottom w:val="none" w:sz="0" w:space="0" w:color="auto"/>
                                        <w:right w:val="none" w:sz="0" w:space="0" w:color="auto"/>
                                      </w:divBdr>
                                      <w:divsChild>
                                        <w:div w:id="423382341">
                                          <w:marLeft w:val="0"/>
                                          <w:marRight w:val="0"/>
                                          <w:marTop w:val="0"/>
                                          <w:marBottom w:val="0"/>
                                          <w:divBdr>
                                            <w:top w:val="none" w:sz="0" w:space="0" w:color="auto"/>
                                            <w:left w:val="none" w:sz="0" w:space="0" w:color="auto"/>
                                            <w:bottom w:val="none" w:sz="0" w:space="0" w:color="auto"/>
                                            <w:right w:val="none" w:sz="0" w:space="0" w:color="auto"/>
                                          </w:divBdr>
                                          <w:divsChild>
                                            <w:div w:id="1385833819">
                                              <w:marLeft w:val="0"/>
                                              <w:marRight w:val="0"/>
                                              <w:marTop w:val="0"/>
                                              <w:marBottom w:val="0"/>
                                              <w:divBdr>
                                                <w:top w:val="none" w:sz="0" w:space="0" w:color="auto"/>
                                                <w:left w:val="none" w:sz="0" w:space="0" w:color="auto"/>
                                                <w:bottom w:val="none" w:sz="0" w:space="0" w:color="auto"/>
                                                <w:right w:val="none" w:sz="0" w:space="0" w:color="auto"/>
                                              </w:divBdr>
                                              <w:divsChild>
                                                <w:div w:id="2110348867">
                                                  <w:marLeft w:val="0"/>
                                                  <w:marRight w:val="0"/>
                                                  <w:marTop w:val="0"/>
                                                  <w:marBottom w:val="0"/>
                                                  <w:divBdr>
                                                    <w:top w:val="none" w:sz="0" w:space="0" w:color="auto"/>
                                                    <w:left w:val="none" w:sz="0" w:space="0" w:color="auto"/>
                                                    <w:bottom w:val="none" w:sz="0" w:space="0" w:color="auto"/>
                                                    <w:right w:val="none" w:sz="0" w:space="0" w:color="auto"/>
                                                  </w:divBdr>
                                                  <w:divsChild>
                                                    <w:div w:id="16425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7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FCF6D-005D-4C42-B85B-D793BA59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4687</Words>
  <Characters>25827</Characters>
  <Application>Microsoft Office Word</Application>
  <DocSecurity>0</DocSecurity>
  <Lines>453</Lines>
  <Paragraphs>217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maria-jose.almeida@ec.europa.eu;Raffaella.BIANCHIN@ec.europa.eu</dc:creator>
  <cp:lastModifiedBy>DELBAER Gerda (SG)</cp:lastModifiedBy>
  <cp:revision>3</cp:revision>
  <cp:lastPrinted>2019-01-09T14:37:00Z</cp:lastPrinted>
  <dcterms:created xsi:type="dcterms:W3CDTF">2024-02-22T13:41:00Z</dcterms:created>
  <dcterms:modified xsi:type="dcterms:W3CDTF">2024-02-22T13:44:00Z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2023-02-07T14:24:05Z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290b2058-46ea-4a2e-846c-5a0db34494e1</vt:lpwstr>
  </property>
  <property fmtid="{D5CDD505-2E9C-101B-9397-08002B2CF9AE}" pid="8" name="MSIP_Label_6bd9ddd1-4d20-43f6-abfa-fc3c07406f94_ContentBits">
    <vt:lpwstr>0</vt:lpwstr>
  </property>
</Properties>
</file>